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30" w:rsidRDefault="005D2930" w:rsidP="005D293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5D2930" w:rsidRPr="00D12D8A" w:rsidRDefault="00D12D8A" w:rsidP="00D12D8A">
      <w:pPr>
        <w:autoSpaceDE w:val="0"/>
        <w:autoSpaceDN w:val="0"/>
        <w:adjustRightInd w:val="0"/>
        <w:ind w:left="6372" w:firstLine="708"/>
        <w:jc w:val="center"/>
        <w:rPr>
          <w:rFonts w:ascii="Garamond" w:hAnsi="Garamond" w:cs="TimesNewRomanPS-BoldMT"/>
          <w:b/>
          <w:bCs/>
        </w:rPr>
      </w:pPr>
      <w:r w:rsidRPr="00D12D8A">
        <w:rPr>
          <w:rFonts w:ascii="Garamond" w:hAnsi="Garamond" w:cs="TimesNewRomanPS-BoldMT"/>
          <w:b/>
          <w:bCs/>
        </w:rPr>
        <w:t xml:space="preserve">Allegato A) </w:t>
      </w:r>
    </w:p>
    <w:p w:rsidR="005D2930" w:rsidRPr="006D36B9" w:rsidRDefault="005D2930" w:rsidP="005D2930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</w:p>
    <w:p w:rsidR="005D2930" w:rsidRDefault="005D2930" w:rsidP="005D2930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</w:p>
    <w:p w:rsidR="00D12D8A" w:rsidRDefault="00D12D8A" w:rsidP="005D2930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</w:p>
    <w:p w:rsidR="00D12D8A" w:rsidRDefault="00D12D8A" w:rsidP="005D2930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</w:p>
    <w:p w:rsidR="00D12D8A" w:rsidRPr="006D36B9" w:rsidRDefault="00D12D8A" w:rsidP="005D2930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</w:p>
    <w:p w:rsidR="0016333A" w:rsidRPr="006D36B9" w:rsidRDefault="0016333A" w:rsidP="005D2930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PIANO INTEGRATO DI ATTIVITA’ E</w:t>
      </w:r>
      <w:r w:rsidR="005D2930" w:rsidRPr="006D36B9">
        <w:rPr>
          <w:rFonts w:ascii="Garamond" w:hAnsi="Garamond" w:cs="TimesNewRomanPS-BoldMT"/>
          <w:b/>
          <w:bCs/>
        </w:rPr>
        <w:t xml:space="preserve"> </w:t>
      </w:r>
      <w:r w:rsidRPr="006D36B9">
        <w:rPr>
          <w:rFonts w:ascii="Garamond" w:hAnsi="Garamond" w:cs="TimesNewRomanPS-BoldMT"/>
          <w:b/>
          <w:bCs/>
        </w:rPr>
        <w:t>ORGANIZZAZIONE</w:t>
      </w:r>
      <w:r w:rsidR="005D2930" w:rsidRPr="006D36B9">
        <w:rPr>
          <w:rFonts w:ascii="Garamond" w:hAnsi="Garamond" w:cs="TimesNewRomanPS-BoldMT"/>
          <w:b/>
          <w:bCs/>
        </w:rPr>
        <w:t xml:space="preserve"> </w:t>
      </w:r>
      <w:r w:rsidRPr="006D36B9">
        <w:rPr>
          <w:rFonts w:ascii="Garamond" w:hAnsi="Garamond" w:cs="TimesNewRomanPS-BoldMT"/>
          <w:b/>
          <w:bCs/>
        </w:rPr>
        <w:t>202</w:t>
      </w:r>
      <w:r w:rsidR="002E1A33">
        <w:rPr>
          <w:rFonts w:ascii="Garamond" w:hAnsi="Garamond" w:cs="TimesNewRomanPS-BoldMT"/>
          <w:b/>
          <w:bCs/>
        </w:rPr>
        <w:t>3</w:t>
      </w:r>
      <w:r w:rsidRPr="006D36B9">
        <w:rPr>
          <w:rFonts w:ascii="Garamond" w:hAnsi="Garamond" w:cs="TimesNewRomanPS-BoldMT"/>
          <w:b/>
          <w:bCs/>
        </w:rPr>
        <w:t xml:space="preserve"> – 202</w:t>
      </w:r>
      <w:r w:rsidR="002E1A33">
        <w:rPr>
          <w:rFonts w:ascii="Garamond" w:hAnsi="Garamond" w:cs="TimesNewRomanPS-BoldMT"/>
          <w:b/>
          <w:bCs/>
        </w:rPr>
        <w:t>5</w:t>
      </w:r>
    </w:p>
    <w:p w:rsidR="005D2930" w:rsidRPr="006D36B9" w:rsidRDefault="005D2930" w:rsidP="005D2930">
      <w:pPr>
        <w:autoSpaceDE w:val="0"/>
        <w:autoSpaceDN w:val="0"/>
        <w:adjustRightInd w:val="0"/>
        <w:jc w:val="center"/>
        <w:rPr>
          <w:rFonts w:ascii="Garamond" w:hAnsi="Garamond" w:cs="TimesNewRomanPS-BoldMT"/>
          <w:b/>
          <w:bCs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ItalicMT"/>
          <w:i/>
          <w:iCs/>
        </w:rPr>
      </w:pPr>
      <w:r w:rsidRPr="006D36B9">
        <w:rPr>
          <w:rFonts w:ascii="Garamond" w:hAnsi="Garamond" w:cs="TimesNewRomanPS-ItalicMT"/>
          <w:i/>
          <w:iCs/>
        </w:rPr>
        <w:t>(art. 6, commi da 1 a 4, del decreto legge 9 giugno 2021, n. 80, convertito, con modificazioni, in</w:t>
      </w:r>
      <w:r w:rsidR="005D2930" w:rsidRPr="006D36B9">
        <w:rPr>
          <w:rFonts w:ascii="Garamond" w:hAnsi="Garamond" w:cs="TimesNewRomanPS-ItalicMT"/>
          <w:i/>
          <w:iCs/>
        </w:rPr>
        <w:t xml:space="preserve"> </w:t>
      </w:r>
      <w:r w:rsidRPr="006D36B9">
        <w:rPr>
          <w:rFonts w:ascii="Garamond" w:hAnsi="Garamond" w:cs="TimesNewRomanPS-ItalicMT"/>
          <w:i/>
          <w:iCs/>
        </w:rPr>
        <w:t>legge 6 agosto 2021, n. 113)</w:t>
      </w: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ItalicMT"/>
          <w:i/>
          <w:i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Pr="006D36B9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Indice</w:t>
      </w: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Premessa .............................................................................................................................................3</w:t>
      </w:r>
    </w:p>
    <w:p w:rsidR="0016333A" w:rsidRPr="006D36B9" w:rsidRDefault="00402B12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>
        <w:rPr>
          <w:rFonts w:ascii="Garamond" w:hAnsi="Garamond" w:cs="TimesNewRomanPS-BoldMT"/>
          <w:b/>
          <w:bCs/>
        </w:rPr>
        <w:t xml:space="preserve">Riferimenti </w:t>
      </w:r>
      <w:r w:rsidR="00AD17D0" w:rsidRPr="006D36B9">
        <w:rPr>
          <w:rFonts w:ascii="Garamond" w:hAnsi="Garamond" w:cs="TimesNewRomanPS-BoldMT"/>
          <w:b/>
          <w:bCs/>
        </w:rPr>
        <w:t>normativi....</w:t>
      </w:r>
      <w:r w:rsidR="0016333A" w:rsidRPr="006D36B9">
        <w:rPr>
          <w:rFonts w:ascii="Garamond" w:hAnsi="Garamond" w:cs="TimesNewRomanPS-BoldMT"/>
          <w:b/>
          <w:bCs/>
        </w:rPr>
        <w:t>........................................................................................</w:t>
      </w:r>
      <w:r>
        <w:rPr>
          <w:rFonts w:ascii="Garamond" w:hAnsi="Garamond" w:cs="TimesNewRomanPS-BoldMT"/>
          <w:b/>
          <w:bCs/>
        </w:rPr>
        <w:t>..............</w:t>
      </w:r>
      <w:r w:rsidR="0016333A" w:rsidRPr="006D36B9">
        <w:rPr>
          <w:rFonts w:ascii="Garamond" w:hAnsi="Garamond" w:cs="TimesNewRomanPS-BoldMT"/>
          <w:b/>
          <w:bCs/>
        </w:rPr>
        <w:t>3</w:t>
      </w:r>
    </w:p>
    <w:p w:rsidR="005D2930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Piano Integrato di atti</w:t>
      </w:r>
      <w:r w:rsidR="00AD17D0" w:rsidRPr="006D36B9">
        <w:rPr>
          <w:rFonts w:ascii="Garamond" w:hAnsi="Garamond" w:cs="TimesNewRomanPS-BoldMT"/>
          <w:b/>
          <w:bCs/>
        </w:rPr>
        <w:t>vità e Organizzazione 202</w:t>
      </w:r>
      <w:r w:rsidR="002E1A33">
        <w:rPr>
          <w:rFonts w:ascii="Garamond" w:hAnsi="Garamond" w:cs="TimesNewRomanPS-BoldMT"/>
          <w:b/>
          <w:bCs/>
        </w:rPr>
        <w:t>3-2025…...</w:t>
      </w:r>
      <w:r w:rsidRPr="006D36B9">
        <w:rPr>
          <w:rFonts w:ascii="Garamond" w:hAnsi="Garamond" w:cs="TimesNewRomanPS-BoldMT"/>
          <w:b/>
          <w:bCs/>
        </w:rPr>
        <w:t>.................................................</w:t>
      </w:r>
      <w:r w:rsidR="00215700" w:rsidRPr="006D36B9">
        <w:rPr>
          <w:rFonts w:ascii="Garamond" w:hAnsi="Garamond" w:cs="TimesNewRomanPS-BoldMT"/>
          <w:b/>
          <w:bCs/>
        </w:rPr>
        <w:t>5</w:t>
      </w: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E72587" w:rsidRPr="006D36B9" w:rsidRDefault="00E72587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5D2930" w:rsidRPr="006D36B9" w:rsidRDefault="005D293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Premessa</w:t>
      </w:r>
    </w:p>
    <w:p w:rsidR="00AD17D0" w:rsidRPr="006D36B9" w:rsidRDefault="00AD17D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Le finalità del PIAO sono: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- consentire un maggior coordinamento dell’attività programmatoria delle pubbliche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amministrazioni e una sua semplificazione;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- assicurare una migliore qualità e trasparenza dell’attività amministrativa e dei servizi ai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cittadini e alle imprese.</w:t>
      </w:r>
    </w:p>
    <w:p w:rsidR="00AD17D0" w:rsidRPr="006D36B9" w:rsidRDefault="00AD17D0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In esso, gli obiettivi, le azioni e le attività dell’Ente sono ricondotti alle finalità istituzionali e alla</w:t>
      </w:r>
      <w:r w:rsidR="00AD17D0" w:rsidRPr="006D36B9">
        <w:rPr>
          <w:rFonts w:ascii="Garamond" w:hAnsi="Garamond" w:cs="TimesNewRomanPSMT"/>
        </w:rPr>
        <w:t xml:space="preserve"> </w:t>
      </w:r>
      <w:proofErr w:type="spellStart"/>
      <w:r w:rsidRPr="00A86684">
        <w:rPr>
          <w:rFonts w:ascii="Garamond" w:hAnsi="Garamond" w:cs="TimesNewRomanPSMT"/>
          <w:i/>
        </w:rPr>
        <w:t>mission</w:t>
      </w:r>
      <w:proofErr w:type="spellEnd"/>
      <w:r w:rsidRPr="00A86684">
        <w:rPr>
          <w:rFonts w:ascii="Garamond" w:hAnsi="Garamond" w:cs="TimesNewRomanPSMT"/>
          <w:i/>
        </w:rPr>
        <w:t xml:space="preserve"> </w:t>
      </w:r>
      <w:r w:rsidRPr="006D36B9">
        <w:rPr>
          <w:rFonts w:ascii="Garamond" w:hAnsi="Garamond" w:cs="TimesNewRomanPSMT"/>
        </w:rPr>
        <w:t>pubblica complessiva di soddisfacimento dei bisogni della collettività e dei territori.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Si tratta quindi di uno strumento dotato, da un lato, di rilevante va</w:t>
      </w:r>
      <w:r w:rsidR="00AD17D0" w:rsidRPr="006D36B9">
        <w:rPr>
          <w:rFonts w:ascii="Garamond" w:hAnsi="Garamond" w:cs="TimesNewRomanPSMT"/>
        </w:rPr>
        <w:t xml:space="preserve">lenza strategica e, dall’altro, </w:t>
      </w:r>
      <w:r w:rsidRPr="006D36B9">
        <w:rPr>
          <w:rFonts w:ascii="Garamond" w:hAnsi="Garamond" w:cs="TimesNewRomanPSMT"/>
        </w:rPr>
        <w:t>di un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forte valore comunicativo, attraverso il quale l’Ente pubblico comunica alla collettività gli obiettivi 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le azioni mediante le quali vengono esercitate le funzioni pubbliche e i risultati che si vogliono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ottenere rispetto alle esigenze di valore pubblico da soddisfare.</w:t>
      </w:r>
    </w:p>
    <w:p w:rsidR="00A86684" w:rsidRDefault="00A86684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A86684" w:rsidRPr="00A86684" w:rsidRDefault="00A86684" w:rsidP="00A86684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A86684">
        <w:rPr>
          <w:rFonts w:ascii="Garamond" w:hAnsi="Garamond" w:cs="TimesNewRomanPSMT"/>
        </w:rPr>
        <w:t>Il Piano Integrato di Attività e Organizzazione, previsto dall'articolo 6 del D.L. n. 80 del 9 gi</w:t>
      </w:r>
      <w:r>
        <w:rPr>
          <w:rFonts w:ascii="Garamond" w:hAnsi="Garamond" w:cs="TimesNewRomanPSMT"/>
        </w:rPr>
        <w:t xml:space="preserve">ugno 2021, è il documento unico </w:t>
      </w:r>
      <w:r w:rsidRPr="00A86684">
        <w:rPr>
          <w:rFonts w:ascii="Garamond" w:hAnsi="Garamond" w:cs="TimesNewRomanPSMT"/>
        </w:rPr>
        <w:t xml:space="preserve">di programmazione e </w:t>
      </w:r>
      <w:proofErr w:type="spellStart"/>
      <w:r w:rsidRPr="00A86684">
        <w:rPr>
          <w:rFonts w:ascii="Garamond" w:hAnsi="Garamond" w:cs="TimesNewRomanPSMT"/>
        </w:rPr>
        <w:t>governance</w:t>
      </w:r>
      <w:proofErr w:type="spellEnd"/>
      <w:r w:rsidRPr="00A86684">
        <w:rPr>
          <w:rFonts w:ascii="Garamond" w:hAnsi="Garamond" w:cs="TimesNewRomanPSMT"/>
        </w:rPr>
        <w:t xml:space="preserve"> che assorbe molti dei Piani che finora le PPAA erano te</w:t>
      </w:r>
      <w:r>
        <w:rPr>
          <w:rFonts w:ascii="Garamond" w:hAnsi="Garamond" w:cs="TimesNewRomanPSMT"/>
        </w:rPr>
        <w:t xml:space="preserve">nute a predisporre annualmente, </w:t>
      </w:r>
      <w:r w:rsidRPr="00A86684">
        <w:rPr>
          <w:rFonts w:ascii="Garamond" w:hAnsi="Garamond" w:cs="TimesNewRomanPSMT"/>
        </w:rPr>
        <w:t>quali il piano di performance, di fabbisogno del personale, della parità di genere, del lavo</w:t>
      </w:r>
      <w:r>
        <w:rPr>
          <w:rFonts w:ascii="Garamond" w:hAnsi="Garamond" w:cs="TimesNewRomanPSMT"/>
        </w:rPr>
        <w:t xml:space="preserve">ro agile, dell’anticorruzione e </w:t>
      </w:r>
      <w:r w:rsidRPr="00A86684">
        <w:rPr>
          <w:rFonts w:ascii="Garamond" w:hAnsi="Garamond" w:cs="TimesNewRomanPSMT"/>
        </w:rPr>
        <w:t>trasparenza.</w:t>
      </w:r>
    </w:p>
    <w:p w:rsidR="00A86684" w:rsidRDefault="00A86684" w:rsidP="00A86684">
      <w:pPr>
        <w:autoSpaceDE w:val="0"/>
        <w:autoSpaceDN w:val="0"/>
        <w:adjustRightInd w:val="0"/>
        <w:jc w:val="both"/>
        <w:rPr>
          <w:rFonts w:ascii="Garamond" w:hAnsi="Garamond" w:cs="TimesNewRomanPSMT"/>
          <w:i/>
        </w:rPr>
      </w:pPr>
      <w:r w:rsidRPr="00A86684">
        <w:rPr>
          <w:rFonts w:ascii="Garamond" w:hAnsi="Garamond" w:cs="TimesNewRomanPSMT"/>
        </w:rPr>
        <w:t>I contenuti del PIAO, inizialmente indicati dall’art. 6 sopra citato, sono stati riformulati con il DM del 30 giugno 20</w:t>
      </w:r>
      <w:r>
        <w:rPr>
          <w:rFonts w:ascii="Garamond" w:hAnsi="Garamond" w:cs="TimesNewRomanPSMT"/>
        </w:rPr>
        <w:t xml:space="preserve">22 che ha </w:t>
      </w:r>
      <w:r w:rsidRPr="00A86684">
        <w:rPr>
          <w:rFonts w:ascii="Garamond" w:hAnsi="Garamond" w:cs="TimesNewRomanPSMT"/>
        </w:rPr>
        <w:t xml:space="preserve">previsto uno schema di PIAO ordinario ed uno </w:t>
      </w:r>
      <w:r w:rsidRPr="00A86684">
        <w:rPr>
          <w:rFonts w:ascii="Garamond" w:hAnsi="Garamond" w:cs="TimesNewRomanPSMT"/>
          <w:i/>
        </w:rPr>
        <w:t>semplificato per gli Enti con non più di 50 dipendenti.</w:t>
      </w:r>
    </w:p>
    <w:p w:rsidR="00804CEA" w:rsidRPr="00A86684" w:rsidRDefault="00804CEA" w:rsidP="00A86684">
      <w:pPr>
        <w:autoSpaceDE w:val="0"/>
        <w:autoSpaceDN w:val="0"/>
        <w:adjustRightInd w:val="0"/>
        <w:jc w:val="both"/>
        <w:rPr>
          <w:rFonts w:ascii="Garamond" w:hAnsi="Garamond" w:cs="TimesNewRomanPSMT"/>
          <w:i/>
        </w:rPr>
      </w:pPr>
    </w:p>
    <w:p w:rsidR="00A86684" w:rsidRDefault="00A86684" w:rsidP="00A86684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A86684">
        <w:rPr>
          <w:rFonts w:ascii="Garamond" w:hAnsi="Garamond" w:cs="TimesNewRomanPSMT"/>
        </w:rPr>
        <w:t>L’</w:t>
      </w:r>
      <w:r>
        <w:rPr>
          <w:rFonts w:ascii="Garamond" w:hAnsi="Garamond" w:cs="TimesNewRomanPSMT"/>
        </w:rPr>
        <w:t>Ente d’Ambito Caserta</w:t>
      </w:r>
      <w:r w:rsidRPr="00A86684">
        <w:rPr>
          <w:rFonts w:ascii="Garamond" w:hAnsi="Garamond" w:cs="TimesNewRomanPSMT"/>
        </w:rPr>
        <w:t>, rientrando tra le Amministrazioni con n</w:t>
      </w:r>
      <w:r>
        <w:rPr>
          <w:rFonts w:ascii="Garamond" w:hAnsi="Garamond" w:cs="TimesNewRomanPSMT"/>
        </w:rPr>
        <w:t>on più di 50 dipendenti, adotta i</w:t>
      </w:r>
      <w:r w:rsidRPr="00A86684">
        <w:rPr>
          <w:rFonts w:ascii="Garamond" w:hAnsi="Garamond" w:cs="TimesNewRomanPSMT"/>
        </w:rPr>
        <w:t>l PIAO semplificato che come tale non prevede - rispetto allo schema ordinario - né la comp</w:t>
      </w:r>
      <w:r>
        <w:rPr>
          <w:rFonts w:ascii="Garamond" w:hAnsi="Garamond" w:cs="TimesNewRomanPSMT"/>
        </w:rPr>
        <w:t xml:space="preserve">ilazione della Sezione 2, nella </w:t>
      </w:r>
      <w:r w:rsidRPr="00A86684">
        <w:rPr>
          <w:rFonts w:ascii="Garamond" w:hAnsi="Garamond" w:cs="TimesNewRomanPSMT"/>
        </w:rPr>
        <w:t>parte “Valore pubblico” e nella parte “Performance”, né della Sezione 4 relativa al “Monitoraggio”</w:t>
      </w:r>
      <w:r>
        <w:rPr>
          <w:rFonts w:ascii="Garamond" w:hAnsi="Garamond" w:cs="TimesNewRomanPSMT"/>
        </w:rPr>
        <w:t>.</w:t>
      </w:r>
    </w:p>
    <w:p w:rsidR="00A86684" w:rsidRDefault="00A86684" w:rsidP="00A86684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A86684" w:rsidRPr="00A86684" w:rsidRDefault="00A86684" w:rsidP="00A86684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L’Eda Caserta, pertanto, </w:t>
      </w:r>
      <w:r w:rsidRPr="00A86684">
        <w:rPr>
          <w:rFonts w:ascii="Garamond" w:hAnsi="Garamond" w:cs="TimesNewRomanPSMT"/>
        </w:rPr>
        <w:t>procede alla compilazione esclusivamente della Sezione Rischi Corruttivi e Trasparenza, e</w:t>
      </w:r>
      <w:r>
        <w:rPr>
          <w:rFonts w:ascii="Garamond" w:hAnsi="Garamond" w:cs="TimesNewRomanPSMT"/>
        </w:rPr>
        <w:t xml:space="preserve"> della Sezione Organizzazione e </w:t>
      </w:r>
      <w:r w:rsidRPr="00A86684">
        <w:rPr>
          <w:rFonts w:ascii="Garamond" w:hAnsi="Garamond" w:cs="TimesNewRomanPSMT"/>
        </w:rPr>
        <w:t>Capitale Umano, ossia il Piano dei Fabbisogni del Personale e il Piano Organizzativo del Lavoro Agile (POLA).</w:t>
      </w:r>
    </w:p>
    <w:p w:rsidR="00A86684" w:rsidRPr="006D36B9" w:rsidRDefault="00A86684" w:rsidP="00A86684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A86684">
        <w:rPr>
          <w:rFonts w:ascii="Garamond" w:hAnsi="Garamond" w:cs="TimesNewRomanPSMT"/>
        </w:rPr>
        <w:t>Il PIAO viene predisposto in base a criteri di proporzionalità, in formato digitale e vi</w:t>
      </w:r>
      <w:r>
        <w:rPr>
          <w:rFonts w:ascii="Garamond" w:hAnsi="Garamond" w:cs="TimesNewRomanPSMT"/>
        </w:rPr>
        <w:t xml:space="preserve">ene pubblicato sul proprio sito </w:t>
      </w:r>
      <w:r w:rsidRPr="00A86684">
        <w:rPr>
          <w:rFonts w:ascii="Garamond" w:hAnsi="Garamond" w:cs="TimesNewRomanPSMT"/>
        </w:rPr>
        <w:t xml:space="preserve">istituzionale - nella sezione Amministrazione Trasparente. Il presente PIAO è stato approvato con delibera </w:t>
      </w:r>
      <w:r>
        <w:rPr>
          <w:rFonts w:ascii="Garamond" w:hAnsi="Garamond" w:cs="TimesNewRomanPSMT"/>
        </w:rPr>
        <w:t xml:space="preserve">del Consiglio d’Ambito </w:t>
      </w:r>
      <w:r w:rsidRPr="00A86684">
        <w:rPr>
          <w:rFonts w:ascii="Garamond" w:hAnsi="Garamond" w:cs="TimesNewRomanPSMT"/>
        </w:rPr>
        <w:t xml:space="preserve">n. </w:t>
      </w:r>
      <w:r w:rsidRPr="00A86684">
        <w:rPr>
          <w:rFonts w:ascii="Garamond" w:hAnsi="Garamond" w:cs="TimesNewRomanPSMT"/>
          <w:highlight w:val="yellow"/>
        </w:rPr>
        <w:t>XX in data 27 luglio 2023.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Riferimenti normativi</w:t>
      </w:r>
    </w:p>
    <w:p w:rsidR="00AD17D0" w:rsidRPr="006D36B9" w:rsidRDefault="00AD17D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L’art. 6, commi da 1 a 4, del decreto legge 9 giugno 2021, n. 80, convertito, con modificazioni, in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legge 6 agosto 2021, n. 113, ha introdotto nel nostro ordinamento il Piano Integrato di attività 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 xml:space="preserve">organizzazione (PIAO), che assorbe una serie di piani e programmi già previsti dalla normativa </w:t>
      </w:r>
      <w:r w:rsidR="00AD17D0" w:rsidRPr="006D36B9">
        <w:rPr>
          <w:rFonts w:ascii="Garamond" w:hAnsi="Garamond" w:cs="TimesNewRomanPSMT"/>
        </w:rPr>
        <w:t>–</w:t>
      </w:r>
      <w:r w:rsidRPr="006D36B9">
        <w:rPr>
          <w:rFonts w:ascii="Garamond" w:hAnsi="Garamond" w:cs="TimesNewRomanPSMT"/>
        </w:rPr>
        <w:t xml:space="preserve"> in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particolare: il Piano della performance, il Piano Triennale per la Prevenzione della Corruzione e per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la Trasparenza, il Piano organizzativo del lavoro agile e il Piano triennale dei fabbisogni del personale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 xml:space="preserve">- quale misura di </w:t>
      </w:r>
      <w:r w:rsidRPr="006D36B9">
        <w:rPr>
          <w:rFonts w:ascii="Garamond" w:hAnsi="Garamond" w:cs="TimesNewRomanPSMT"/>
        </w:rPr>
        <w:lastRenderedPageBreak/>
        <w:t>semplificazione e ottimizzazione della programmazione pubblica nell’ambito del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processo di rafforzamento della capacità amministrativa delle PP.AA. funzionale all’attuazione del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PNRR.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Il Piano Integrato di Attività e Organizzazione viene redatto ne</w:t>
      </w:r>
      <w:r w:rsidR="00AD17D0" w:rsidRPr="006D36B9">
        <w:rPr>
          <w:rFonts w:ascii="Garamond" w:hAnsi="Garamond" w:cs="TimesNewRomanPSMT"/>
        </w:rPr>
        <w:t xml:space="preserve">l rispetto del quadro normativo </w:t>
      </w:r>
      <w:r w:rsidRPr="006D36B9">
        <w:rPr>
          <w:rFonts w:ascii="Garamond" w:hAnsi="Garamond" w:cs="TimesNewRomanPSMT"/>
        </w:rPr>
        <w:t>di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riferimento relativo alla Performance (decreto legislativo n. 150 del 2009 e le Linee Guida emanate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dal Dipartimento della Funzione Pubblica) ai Rischi corruttivi e trasparenza (Piano nazionale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anticorruzione (PNA) e negli atti di regolazione generali adottati dall’ANAC ai sensi della legge n.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190 del 2012 e del decreto legislativo n. 33 del 2013) e di tutte le ulteriori specifiche normative di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riferimento delle altre materie, dallo stesso assorbite, nonché sulla base del “Piano tipo”, di cui al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Decreto del Ministro per la Pubblica Amministrazione del 30 giugno 2022, concernente la definizione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del contenuto del Piano Integrato di Attività e Organizzazione.</w:t>
      </w:r>
    </w:p>
    <w:p w:rsidR="00AD17D0" w:rsidRPr="006D36B9" w:rsidRDefault="00AD17D0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16333A" w:rsidRPr="006D36B9" w:rsidRDefault="00804CE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>L</w:t>
      </w:r>
      <w:r w:rsidR="0016333A" w:rsidRPr="006D36B9">
        <w:rPr>
          <w:rFonts w:ascii="Garamond" w:hAnsi="Garamond" w:cs="TimesNewRomanPSMT"/>
        </w:rPr>
        <w:t>a data di scadenza per l’approvazione del PIAO</w:t>
      </w:r>
      <w:r w:rsidR="00AD17D0" w:rsidRPr="006D36B9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 xml:space="preserve">2023/205 </w:t>
      </w:r>
      <w:r w:rsidR="00AD17D0" w:rsidRPr="006D36B9">
        <w:rPr>
          <w:rFonts w:ascii="Garamond" w:hAnsi="Garamond" w:cs="TimesNewRomanPSMT"/>
        </w:rPr>
        <w:t>è stata fissata al 3</w:t>
      </w:r>
      <w:r>
        <w:rPr>
          <w:rFonts w:ascii="Garamond" w:hAnsi="Garamond" w:cs="TimesNewRomanPSMT"/>
        </w:rPr>
        <w:t>1</w:t>
      </w:r>
      <w:r w:rsidR="00AD17D0" w:rsidRPr="006D36B9">
        <w:rPr>
          <w:rFonts w:ascii="Garamond" w:hAnsi="Garamond" w:cs="TimesNewRomanPSMT"/>
        </w:rPr>
        <w:t xml:space="preserve"> </w:t>
      </w:r>
      <w:r>
        <w:rPr>
          <w:rFonts w:ascii="Garamond" w:hAnsi="Garamond" w:cs="TimesNewRomanPSMT"/>
        </w:rPr>
        <w:t>agosto</w:t>
      </w:r>
      <w:r w:rsidR="0016333A" w:rsidRPr="006D36B9">
        <w:rPr>
          <w:rFonts w:ascii="Garamond" w:hAnsi="Garamond" w:cs="TimesNewRomanPSMT"/>
        </w:rPr>
        <w:t xml:space="preserve"> 202</w:t>
      </w:r>
      <w:r>
        <w:rPr>
          <w:rFonts w:ascii="Garamond" w:hAnsi="Garamond" w:cs="TimesNewRomanPSMT"/>
        </w:rPr>
        <w:t>3</w:t>
      </w:r>
      <w:r w:rsidR="0016333A" w:rsidRPr="006D36B9">
        <w:rPr>
          <w:rFonts w:ascii="Garamond" w:hAnsi="Garamond" w:cs="TimesNewRomanPSMT"/>
        </w:rPr>
        <w:t>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Ai sensi dell’art. 6 del Decreto del Ministro per la Pubblica Amministrazione del 30 giugno 2022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concernente la definizione del contenuto del Piano Integrato di Attività e Organizzazione, le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 xml:space="preserve">amministrazioni tenute all’adozione del </w:t>
      </w:r>
      <w:r w:rsidR="00AD17D0" w:rsidRPr="006D36B9">
        <w:rPr>
          <w:rFonts w:ascii="Garamond" w:hAnsi="Garamond" w:cs="TimesNewRomanPSMT"/>
        </w:rPr>
        <w:t xml:space="preserve">PIAO con meno di 50 dipendenti, </w:t>
      </w:r>
      <w:r w:rsidRPr="006D36B9">
        <w:rPr>
          <w:rFonts w:ascii="Garamond" w:hAnsi="Garamond" w:cs="TimesNewRomanPSMT"/>
        </w:rPr>
        <w:t>procedono alle attività di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cui all’articolo 3, comma 1, lettera c), n. 3), per la mappatura dei processi, limitandosi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all’aggiornamento di quella esistente all’entrata in vigore del presente decreto considerando, ai sensi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dell’articolo 1, comma 16, del</w:t>
      </w:r>
      <w:r w:rsidR="00AD17D0" w:rsidRPr="006D36B9">
        <w:rPr>
          <w:rFonts w:ascii="Garamond" w:hAnsi="Garamond" w:cs="TimesNewRomanPSMT"/>
        </w:rPr>
        <w:t xml:space="preserve">la legge n. 190 del 2012, quali </w:t>
      </w:r>
      <w:r w:rsidRPr="006D36B9">
        <w:rPr>
          <w:rFonts w:ascii="Garamond" w:hAnsi="Garamond" w:cs="TimesNewRomanPSMT"/>
        </w:rPr>
        <w:t>aree a rischio corruttivo, quelle relative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a: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a) autorizzazione/concessione;</w:t>
      </w: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b) contratti pubblici;</w:t>
      </w: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c) concessione ed erogazione di sovvenzioni, contributi;</w:t>
      </w: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d) concorsi e prove selettive;</w:t>
      </w: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e) processi, individuati dal Responsabile della Preve</w:t>
      </w:r>
      <w:r w:rsidR="00AD17D0" w:rsidRPr="006D36B9">
        <w:rPr>
          <w:rFonts w:ascii="Garamond" w:hAnsi="Garamond" w:cs="TimesNewRomanPSMT"/>
        </w:rPr>
        <w:t xml:space="preserve">nzione della Corruzione e della </w:t>
      </w:r>
      <w:r w:rsidRPr="006D36B9">
        <w:rPr>
          <w:rFonts w:ascii="Garamond" w:hAnsi="Garamond" w:cs="TimesNewRomanPSMT"/>
        </w:rPr>
        <w:t>Trasparenza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(RPCT) e dai responsabili degli uffici, ritenuti di maggiore rilievo per il raggiungimento degli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obiettivi di performance a protezione del valore pubblico.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L’aggiornamento nel triennio di vigenza della sottosezione di programmazione “Rischi corruttivi 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trasparenza” avviene in presenza di fatti corruttivi, modifiche organizzative rilevanti o ipotesi di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disfunzioni amministrative significative intercorse ovvero di aggiornamenti o modifiche degli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obiettivi di performance a protezione del valore pubblico. Scaduto il triennio di validità il Piano è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modificato sulla base delle risultanze dei monitoraggi effettuati nel triennio.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Le amministrazioni con meno di 50 dipendenti sono tenute, altresì, alla predisposizione del Piano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integrato di attività e organizzazione limitatamente all’articolo 4, comma 1, lettere a), b) e c), n. 2.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Le pubbliche amministrazioni con meno di 50 dipendenti procedono esclusivamente alle attività di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cui all’art. 6 Decreto del Ministro per la Pubblica Amministrazione del 30 giugno 2022 concernente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la definizione del contenuto de</w:t>
      </w:r>
      <w:r w:rsidR="00AD17D0" w:rsidRPr="006D36B9">
        <w:rPr>
          <w:rFonts w:ascii="Garamond" w:hAnsi="Garamond" w:cs="TimesNewRomanPSMT"/>
        </w:rPr>
        <w:t xml:space="preserve">l Piano Integrato di Attività e </w:t>
      </w:r>
      <w:r w:rsidRPr="006D36B9">
        <w:rPr>
          <w:rFonts w:ascii="Garamond" w:hAnsi="Garamond" w:cs="TimesNewRomanPSMT"/>
        </w:rPr>
        <w:t>Organizzazione.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AD17D0" w:rsidRPr="006D36B9" w:rsidRDefault="0016333A" w:rsidP="00E3713F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Sulla base del quadro normativo di riferimento e in una visione di transizione dall’attuale alla nuova</w:t>
      </w:r>
      <w:r w:rsidR="00E3713F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programmazione, il Piano Integrato di Attività e Organizzazione 202</w:t>
      </w:r>
      <w:r w:rsidR="00E3713F">
        <w:rPr>
          <w:rFonts w:ascii="Garamond" w:hAnsi="Garamond" w:cs="TimesNewRomanPSMT"/>
        </w:rPr>
        <w:t>3</w:t>
      </w:r>
      <w:r w:rsidRPr="006D36B9">
        <w:rPr>
          <w:rFonts w:ascii="Garamond" w:hAnsi="Garamond" w:cs="TimesNewRomanPSMT"/>
        </w:rPr>
        <w:t>-202</w:t>
      </w:r>
      <w:r w:rsidR="00E3713F">
        <w:rPr>
          <w:rFonts w:ascii="Garamond" w:hAnsi="Garamond" w:cs="TimesNewRomanPSMT"/>
        </w:rPr>
        <w:t>5</w:t>
      </w:r>
      <w:r w:rsidRPr="006D36B9">
        <w:rPr>
          <w:rFonts w:ascii="Garamond" w:hAnsi="Garamond" w:cs="TimesNewRomanPSMT"/>
        </w:rPr>
        <w:t>, ha quindi il compito</w:t>
      </w:r>
      <w:r w:rsidR="00E3713F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principale di fornire, una visione d’insieme sui princip</w:t>
      </w:r>
      <w:r w:rsidR="00AD17D0" w:rsidRPr="006D36B9">
        <w:rPr>
          <w:rFonts w:ascii="Garamond" w:hAnsi="Garamond" w:cs="TimesNewRomanPSMT"/>
        </w:rPr>
        <w:t xml:space="preserve">ali strumenti di programmazione </w:t>
      </w:r>
      <w:r w:rsidRPr="006D36B9">
        <w:rPr>
          <w:rFonts w:ascii="Garamond" w:hAnsi="Garamond" w:cs="TimesNewRomanPSMT"/>
        </w:rPr>
        <w:t>operativa e</w:t>
      </w:r>
      <w:r w:rsidR="00AD17D0" w:rsidRPr="006D36B9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sullo stato di salute dell’Ente al fine di coordinare le diverse azioni contenute nei singoli Piani.</w:t>
      </w:r>
    </w:p>
    <w:p w:rsidR="00AD17D0" w:rsidRPr="006D36B9" w:rsidRDefault="00AD17D0" w:rsidP="00AD17D0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lastRenderedPageBreak/>
        <w:t>SEZIONE 1. SCHEDA ANAGRAFICA DELL’AMMINISTRAZIONE</w:t>
      </w:r>
    </w:p>
    <w:p w:rsidR="00A02590" w:rsidRPr="006D36B9" w:rsidRDefault="00A02590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782509" w:rsidRDefault="00A02590" w:rsidP="0016333A">
      <w:pPr>
        <w:autoSpaceDE w:val="0"/>
        <w:autoSpaceDN w:val="0"/>
        <w:adjustRightInd w:val="0"/>
        <w:rPr>
          <w:rFonts w:ascii="Garamond" w:hAnsi="Garamond" w:cs="TimesNewRomanPSMT"/>
          <w:b/>
        </w:rPr>
      </w:pPr>
      <w:r w:rsidRPr="00782509">
        <w:rPr>
          <w:rFonts w:ascii="Garamond" w:hAnsi="Garamond" w:cs="TimesNewRomanPSMT"/>
          <w:b/>
        </w:rPr>
        <w:t>Ente d’Ambito Caserta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 xml:space="preserve">Indirizzo: </w:t>
      </w:r>
      <w:r w:rsidR="00A02590" w:rsidRPr="006D36B9">
        <w:rPr>
          <w:rFonts w:ascii="Garamond" w:hAnsi="Garamond" w:cs="TimesNewRomanPSMT"/>
        </w:rPr>
        <w:t>Via Caserta n. 1 81055 Santa Maria Capua Vetere - CE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 xml:space="preserve">Codice fiscale/Partita IVA: </w:t>
      </w:r>
      <w:r w:rsidR="00A02590" w:rsidRPr="006D36B9">
        <w:rPr>
          <w:rFonts w:ascii="Garamond" w:hAnsi="Garamond" w:cs="TimesNewRomanPSMT"/>
        </w:rPr>
        <w:t>93111100611</w:t>
      </w:r>
    </w:p>
    <w:p w:rsidR="00A02590" w:rsidRPr="006D36B9" w:rsidRDefault="00A02590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16333A" w:rsidRPr="006D36B9" w:rsidRDefault="00A02590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>Presidente Consiglio d’Ambito: Arch. Vito Luigi Pellegrino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 xml:space="preserve">Numero dipendenti al 31 dicembre anno precedente: </w:t>
      </w:r>
      <w:r w:rsidR="00A02590" w:rsidRPr="006D36B9">
        <w:rPr>
          <w:rFonts w:ascii="Garamond" w:hAnsi="Garamond" w:cs="TimesNewRomanPSMT"/>
        </w:rPr>
        <w:t>5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 xml:space="preserve">Numero abitanti al 31 dicembre anno precedente: </w:t>
      </w:r>
      <w:r w:rsidR="003E7DA8" w:rsidRPr="006D36B9">
        <w:rPr>
          <w:rFonts w:ascii="Garamond" w:hAnsi="Garamond" w:cs="TimesNewRomanPSMT"/>
        </w:rPr>
        <w:t>oltre 900.000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 xml:space="preserve">Telefono: </w:t>
      </w:r>
      <w:r w:rsidR="003E7DA8" w:rsidRPr="006D36B9">
        <w:rPr>
          <w:rFonts w:ascii="Garamond" w:hAnsi="Garamond" w:cs="TimesNewRomanPSMT"/>
        </w:rPr>
        <w:t>0823/412733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 xml:space="preserve">Sito internet: </w:t>
      </w:r>
      <w:r w:rsidR="003E7DA8" w:rsidRPr="006D36B9">
        <w:rPr>
          <w:rFonts w:ascii="Garamond" w:hAnsi="Garamond" w:cs="TimesNewRomanPSMT"/>
        </w:rPr>
        <w:t>www.entedambitocaserta</w:t>
      </w:r>
      <w:r w:rsidR="00013EDF">
        <w:rPr>
          <w:rFonts w:ascii="Garamond" w:hAnsi="Garamond" w:cs="TimesNewRomanPSMT"/>
        </w:rPr>
        <w:t>.it</w:t>
      </w:r>
    </w:p>
    <w:p w:rsidR="00013EDF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 xml:space="preserve">E-mail: </w:t>
      </w:r>
      <w:hyperlink r:id="rId8" w:history="1">
        <w:r w:rsidR="00013EDF" w:rsidRPr="00537A63">
          <w:rPr>
            <w:rStyle w:val="Collegamentoipertestuale"/>
            <w:rFonts w:ascii="Garamond" w:hAnsi="Garamond" w:cs="TimesNewRomanPSMT"/>
          </w:rPr>
          <w:t>casertaeda@gmail.com</w:t>
        </w:r>
      </w:hyperlink>
    </w:p>
    <w:p w:rsidR="0016333A" w:rsidRDefault="0016333A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 w:rsidRPr="006D36B9">
        <w:rPr>
          <w:rFonts w:ascii="Garamond" w:hAnsi="Garamond" w:cs="TimesNewRomanPSMT"/>
        </w:rPr>
        <w:t xml:space="preserve">PEC: </w:t>
      </w:r>
      <w:hyperlink r:id="rId9" w:history="1">
        <w:r w:rsidR="00013EDF" w:rsidRPr="00537A63">
          <w:rPr>
            <w:rStyle w:val="Collegamentoipertestuale"/>
            <w:rFonts w:ascii="Garamond" w:hAnsi="Garamond" w:cs="TimesNewRomanPSMT"/>
          </w:rPr>
          <w:t>edacaserta@pec.it</w:t>
        </w:r>
      </w:hyperlink>
    </w:p>
    <w:p w:rsidR="00013EDF" w:rsidRPr="006D36B9" w:rsidRDefault="00013EDF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16333A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SEZIONE 2. VALORE PUBBLICO, PERFORMANCE E ANTICORRUZIONE</w:t>
      </w:r>
    </w:p>
    <w:p w:rsidR="00013EDF" w:rsidRPr="006D36B9" w:rsidRDefault="00013EDF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Sottosezione di programmazione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Valore pubblico</w:t>
      </w:r>
    </w:p>
    <w:p w:rsidR="00884DA9" w:rsidRDefault="00BE3CA1" w:rsidP="00BE3CA1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COMPILAZIONE NON OBBLIGATORIA </w:t>
      </w:r>
      <w:r w:rsidR="00E3713F" w:rsidRPr="00E3713F">
        <w:rPr>
          <w:rFonts w:ascii="Garamond" w:hAnsi="Garamond" w:cs="TimesNewRomanPSMT"/>
        </w:rPr>
        <w:t>per le PA con non più di 50 dipendenti</w:t>
      </w:r>
      <w:r w:rsidR="00884DA9">
        <w:rPr>
          <w:rFonts w:ascii="Garamond" w:hAnsi="Garamond" w:cs="TimesNewRomanPSMT"/>
        </w:rPr>
        <w:t>.</w:t>
      </w:r>
    </w:p>
    <w:p w:rsidR="00884DA9" w:rsidRDefault="00884DA9" w:rsidP="00BE3CA1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Pr="00884DA9" w:rsidRDefault="00BE3CA1" w:rsidP="00884DA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 w:cs="TimesNewRomanPSMT"/>
          <w:i/>
        </w:rPr>
      </w:pPr>
      <w:r w:rsidRPr="00884DA9">
        <w:rPr>
          <w:rFonts w:ascii="Garamond" w:hAnsi="Garamond" w:cs="TimesNewRomanPSMT"/>
        </w:rPr>
        <w:t xml:space="preserve">Si richiama la Deliberazione del Consiglio d’Ambito n. 05 del 26.04.2023 avente ad oggetto </w:t>
      </w:r>
      <w:r w:rsidRPr="00884DA9">
        <w:rPr>
          <w:rFonts w:ascii="Garamond" w:hAnsi="Garamond" w:cs="TimesNewRomanPSMT"/>
          <w:i/>
        </w:rPr>
        <w:t xml:space="preserve">“Principio contabile applicato concernente la programmazione (allegato 4/1 al </w:t>
      </w:r>
      <w:proofErr w:type="spellStart"/>
      <w:proofErr w:type="gramStart"/>
      <w:r w:rsidRPr="00884DA9">
        <w:rPr>
          <w:rFonts w:ascii="Garamond" w:hAnsi="Garamond" w:cs="TimesNewRomanPSMT"/>
          <w:i/>
        </w:rPr>
        <w:t>D.Lgs</w:t>
      </w:r>
      <w:proofErr w:type="gramEnd"/>
      <w:r w:rsidRPr="00884DA9">
        <w:rPr>
          <w:rFonts w:ascii="Garamond" w:hAnsi="Garamond" w:cs="TimesNewRomanPSMT"/>
          <w:i/>
        </w:rPr>
        <w:t>.</w:t>
      </w:r>
      <w:proofErr w:type="spellEnd"/>
      <w:r w:rsidRPr="00884DA9">
        <w:rPr>
          <w:rFonts w:ascii="Garamond" w:hAnsi="Garamond" w:cs="TimesNewRomanPSMT"/>
          <w:i/>
        </w:rPr>
        <w:t xml:space="preserve"> 118/2011) - paragrafo 4.3 - Approvazione del Piano di triennale delle attività 2023-2025 comprensivo degli obiettivi annuali e triennali anche ai fini del piano della performance – DUP Semplificato”.</w:t>
      </w:r>
    </w:p>
    <w:p w:rsidR="00013EDF" w:rsidRPr="006D36B9" w:rsidRDefault="00013EDF" w:rsidP="00BE3CA1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16333A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Sottosezione di programmazione</w:t>
      </w:r>
    </w:p>
    <w:p w:rsidR="00013EDF" w:rsidRPr="006D36B9" w:rsidRDefault="00013EDF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Performance</w:t>
      </w:r>
    </w:p>
    <w:p w:rsidR="00884DA9" w:rsidRDefault="00E3713F" w:rsidP="00E3713F">
      <w:pPr>
        <w:autoSpaceDE w:val="0"/>
        <w:autoSpaceDN w:val="0"/>
        <w:adjustRightInd w:val="0"/>
        <w:contextualSpacing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COMPILAZIONE NON OBBLIGATORIA </w:t>
      </w:r>
      <w:r w:rsidRPr="00E3713F">
        <w:rPr>
          <w:rFonts w:ascii="Garamond" w:hAnsi="Garamond" w:cs="TimesNewRomanPSMT"/>
        </w:rPr>
        <w:t>per le PA con non più di 50</w:t>
      </w:r>
      <w:r w:rsidR="00884DA9">
        <w:rPr>
          <w:rFonts w:ascii="Garamond" w:hAnsi="Garamond" w:cs="TimesNewRomanPSMT"/>
        </w:rPr>
        <w:t>.</w:t>
      </w:r>
    </w:p>
    <w:p w:rsidR="00884DA9" w:rsidRDefault="00884DA9" w:rsidP="00E3713F">
      <w:pPr>
        <w:autoSpaceDE w:val="0"/>
        <w:autoSpaceDN w:val="0"/>
        <w:adjustRightInd w:val="0"/>
        <w:contextualSpacing/>
        <w:jc w:val="both"/>
        <w:rPr>
          <w:rFonts w:ascii="Garamond" w:hAnsi="Garamond" w:cs="TimesNewRomanPSMT"/>
        </w:rPr>
      </w:pPr>
    </w:p>
    <w:p w:rsidR="00473977" w:rsidRPr="00884DA9" w:rsidRDefault="00BE3CA1" w:rsidP="00884D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 w:cs="TimesNewRomanPSMT"/>
          <w:i/>
        </w:rPr>
      </w:pPr>
      <w:r w:rsidRPr="00884DA9">
        <w:rPr>
          <w:rFonts w:ascii="Garamond" w:hAnsi="Garamond" w:cs="TimesNewRomanPSMT"/>
        </w:rPr>
        <w:t xml:space="preserve">Si richiama la Deliberazione del Consiglio d’Ambito n. 05 del 26.04.2023 avente ad oggetto </w:t>
      </w:r>
      <w:r w:rsidRPr="00884DA9">
        <w:rPr>
          <w:rFonts w:ascii="Garamond" w:hAnsi="Garamond" w:cs="TimesNewRomanPSMT"/>
          <w:i/>
        </w:rPr>
        <w:t xml:space="preserve">“Principio contabile applicato concernente la programmazione (allegato 4/1 al </w:t>
      </w:r>
      <w:proofErr w:type="spellStart"/>
      <w:proofErr w:type="gramStart"/>
      <w:r w:rsidRPr="00884DA9">
        <w:rPr>
          <w:rFonts w:ascii="Garamond" w:hAnsi="Garamond" w:cs="TimesNewRomanPSMT"/>
          <w:i/>
        </w:rPr>
        <w:t>D.Lgs</w:t>
      </w:r>
      <w:proofErr w:type="gramEnd"/>
      <w:r w:rsidRPr="00884DA9">
        <w:rPr>
          <w:rFonts w:ascii="Garamond" w:hAnsi="Garamond" w:cs="TimesNewRomanPSMT"/>
          <w:i/>
        </w:rPr>
        <w:t>.</w:t>
      </w:r>
      <w:proofErr w:type="spellEnd"/>
      <w:r w:rsidRPr="00884DA9">
        <w:rPr>
          <w:rFonts w:ascii="Garamond" w:hAnsi="Garamond" w:cs="TimesNewRomanPSMT"/>
          <w:i/>
        </w:rPr>
        <w:t xml:space="preserve"> 118/2011) - paragrafo 4.3 - Approvazione del Piano di triennale delle attività 2023-2025 comprensivo degli obiettivi annuali e triennali anche ai fini del piano della performance – DUP Semplificato”.</w:t>
      </w:r>
    </w:p>
    <w:p w:rsidR="00884DA9" w:rsidRDefault="00884DA9" w:rsidP="00884DA9">
      <w:pPr>
        <w:autoSpaceDE w:val="0"/>
        <w:autoSpaceDN w:val="0"/>
        <w:adjustRightInd w:val="0"/>
        <w:contextualSpacing/>
        <w:jc w:val="both"/>
        <w:rPr>
          <w:rFonts w:ascii="Garamond" w:hAnsi="Garamond" w:cs="TimesNewRomanPSMT"/>
        </w:rPr>
      </w:pPr>
    </w:p>
    <w:p w:rsidR="00884DA9" w:rsidRPr="00884DA9" w:rsidRDefault="00884DA9" w:rsidP="00884DA9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aramond" w:hAnsi="Garamond" w:cs="TimesNewRomanPSMT"/>
          <w:i/>
        </w:rPr>
      </w:pPr>
      <w:r w:rsidRPr="00884DA9">
        <w:rPr>
          <w:rFonts w:ascii="Garamond" w:hAnsi="Garamond" w:cs="TimesNewRomanPSMT"/>
          <w:i/>
        </w:rPr>
        <w:t>Piano delle azioni positive 2023-2025, di cui alla deliberazione di Consiglio d’Ambito n. 7 del 29/05/2023.</w:t>
      </w:r>
    </w:p>
    <w:p w:rsidR="00013EDF" w:rsidRDefault="00013EDF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Sottosezione di programmazione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Rischi corruttivi e trasparenza</w:t>
      </w:r>
    </w:p>
    <w:p w:rsidR="00473977" w:rsidRPr="00884DA9" w:rsidRDefault="0016333A" w:rsidP="0016333A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Garamond" w:hAnsi="Garamond" w:cs="TimesNewRomanPSMT"/>
          <w:i/>
        </w:rPr>
      </w:pPr>
      <w:r w:rsidRPr="006D36B9">
        <w:rPr>
          <w:rFonts w:ascii="Garamond" w:hAnsi="Garamond" w:cs="TimesNewRomanPSMT"/>
        </w:rPr>
        <w:t>Piano Triennale per la Prevenzione</w:t>
      </w:r>
      <w:r w:rsidR="00013EDF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della Corruzione e della Trasparenza 2022-2024, di cui</w:t>
      </w:r>
      <w:r w:rsidR="00013EDF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 xml:space="preserve">alla deliberazione di </w:t>
      </w:r>
      <w:r w:rsidR="00013EDF" w:rsidRPr="006D36B9">
        <w:rPr>
          <w:rFonts w:ascii="Garamond" w:hAnsi="Garamond" w:cs="TimesNewRomanPSMT"/>
        </w:rPr>
        <w:t xml:space="preserve">Consiglio </w:t>
      </w:r>
      <w:r w:rsidR="00013EDF">
        <w:rPr>
          <w:rFonts w:ascii="Garamond" w:hAnsi="Garamond" w:cs="TimesNewRomanPSMT"/>
        </w:rPr>
        <w:t>d’Ambito</w:t>
      </w:r>
      <w:r w:rsidR="00013EDF" w:rsidRPr="006D36B9">
        <w:rPr>
          <w:rFonts w:ascii="Garamond" w:hAnsi="Garamond" w:cs="TimesNewRomanPSMT"/>
        </w:rPr>
        <w:t xml:space="preserve"> </w:t>
      </w:r>
      <w:r w:rsidR="00473977">
        <w:rPr>
          <w:rFonts w:ascii="Garamond" w:hAnsi="Garamond" w:cs="TimesNewRomanPSMT"/>
        </w:rPr>
        <w:t>n. 17 del 3/11/2022</w:t>
      </w:r>
      <w:r w:rsidR="00BE3CA1">
        <w:rPr>
          <w:rFonts w:ascii="Garamond" w:hAnsi="Garamond" w:cs="TimesNewRomanPSMT"/>
        </w:rPr>
        <w:t xml:space="preserve"> e la Deliberazione del Consiglio d’Ambito del 03 del 26.04.2023 avente ad oggetto </w:t>
      </w:r>
      <w:r w:rsidR="00BE3CA1" w:rsidRPr="00BE3CA1">
        <w:rPr>
          <w:rFonts w:ascii="Garamond" w:hAnsi="Garamond" w:cs="TimesNewRomanPSMT"/>
          <w:i/>
        </w:rPr>
        <w:t>“Piano triennale per la prevenzione della corruzione e per la trasparenza - Conferma del PTPCT per l’anno 2023”.</w:t>
      </w:r>
    </w:p>
    <w:p w:rsidR="0016333A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lastRenderedPageBreak/>
        <w:t>SEZIONE 3. ORGANIZZAZIONE E CAPITALE UMANO</w:t>
      </w:r>
    </w:p>
    <w:p w:rsidR="00013EDF" w:rsidRPr="006D36B9" w:rsidRDefault="00013EDF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Sottosezione di programmazione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Struttura organizzativa</w:t>
      </w:r>
    </w:p>
    <w:p w:rsidR="00473977" w:rsidRDefault="0016333A" w:rsidP="00533BCD">
      <w:pPr>
        <w:autoSpaceDE w:val="0"/>
        <w:autoSpaceDN w:val="0"/>
        <w:adjustRightInd w:val="0"/>
        <w:rPr>
          <w:rFonts w:ascii="Garamond" w:hAnsi="Garamond" w:cs="TimesNewRomanPSMT"/>
          <w:i/>
        </w:rPr>
      </w:pPr>
      <w:r w:rsidRPr="006D36B9">
        <w:rPr>
          <w:rFonts w:ascii="Garamond" w:hAnsi="Garamond" w:cs="TimesNewRomanPSMT"/>
        </w:rPr>
        <w:t xml:space="preserve">Struttura organizzativa, di cui alla </w:t>
      </w:r>
      <w:r w:rsidRPr="00884DA9">
        <w:rPr>
          <w:rFonts w:ascii="Garamond" w:hAnsi="Garamond" w:cs="TimesNewRomanPSMT"/>
          <w:i/>
        </w:rPr>
        <w:t>deliberazione di</w:t>
      </w:r>
      <w:r w:rsidR="00013EDF" w:rsidRPr="00884DA9">
        <w:rPr>
          <w:rFonts w:ascii="Garamond" w:hAnsi="Garamond" w:cs="TimesNewRomanPSMT"/>
          <w:i/>
        </w:rPr>
        <w:t xml:space="preserve"> Consiglio d’Ambito </w:t>
      </w:r>
      <w:r w:rsidR="00782509" w:rsidRPr="00884DA9">
        <w:rPr>
          <w:rFonts w:ascii="Garamond" w:hAnsi="Garamond" w:cs="TimesNewRomanPSMT"/>
          <w:i/>
        </w:rPr>
        <w:t>n.5</w:t>
      </w:r>
      <w:r w:rsidR="00533BCD" w:rsidRPr="00884DA9">
        <w:rPr>
          <w:rFonts w:ascii="Garamond" w:hAnsi="Garamond" w:cs="TimesNewRomanPSMT"/>
          <w:i/>
        </w:rPr>
        <w:t xml:space="preserve"> del 2</w:t>
      </w:r>
      <w:r w:rsidR="00782509" w:rsidRPr="00884DA9">
        <w:rPr>
          <w:rFonts w:ascii="Garamond" w:hAnsi="Garamond" w:cs="TimesNewRomanPSMT"/>
          <w:i/>
        </w:rPr>
        <w:t>6</w:t>
      </w:r>
      <w:r w:rsidR="00533BCD" w:rsidRPr="00884DA9">
        <w:rPr>
          <w:rFonts w:ascii="Garamond" w:hAnsi="Garamond" w:cs="TimesNewRomanPSMT"/>
          <w:i/>
        </w:rPr>
        <w:t>/0</w:t>
      </w:r>
      <w:r w:rsidR="00782509" w:rsidRPr="00884DA9">
        <w:rPr>
          <w:rFonts w:ascii="Garamond" w:hAnsi="Garamond" w:cs="TimesNewRomanPSMT"/>
          <w:i/>
        </w:rPr>
        <w:t>4/2023.</w:t>
      </w:r>
    </w:p>
    <w:p w:rsidR="000E189E" w:rsidRDefault="000E189E" w:rsidP="00533BCD">
      <w:pPr>
        <w:autoSpaceDE w:val="0"/>
        <w:autoSpaceDN w:val="0"/>
        <w:adjustRightInd w:val="0"/>
        <w:rPr>
          <w:rFonts w:ascii="Garamond" w:hAnsi="Garamond" w:cs="TimesNewRomanPSMT"/>
          <w:i/>
        </w:rPr>
      </w:pPr>
    </w:p>
    <w:p w:rsidR="000E189E" w:rsidRDefault="000E189E" w:rsidP="000E189E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307D4B">
        <w:rPr>
          <w:rFonts w:ascii="Garamond" w:hAnsi="Garamond"/>
        </w:rPr>
        <w:t xml:space="preserve">Nella seguente tabella viene indicato il personale attualmente in forza all’Ente, pari a n. 4 dipendenti con contratti a tempo determinato </w:t>
      </w:r>
      <w:proofErr w:type="spellStart"/>
      <w:r>
        <w:rPr>
          <w:rFonts w:ascii="Garamond" w:hAnsi="Garamond"/>
        </w:rPr>
        <w:t>partime</w:t>
      </w:r>
      <w:proofErr w:type="spellEnd"/>
      <w:r>
        <w:rPr>
          <w:rFonts w:ascii="Garamond" w:hAnsi="Garamond"/>
        </w:rPr>
        <w:t xml:space="preserve"> in scavalco d’eccedenza </w:t>
      </w:r>
      <w:r w:rsidRPr="00307D4B">
        <w:rPr>
          <w:rFonts w:ascii="Garamond" w:hAnsi="Garamond"/>
        </w:rPr>
        <w:t>a 12 ore settimanali, come appresso specificato) oltre il Direttore Generale che ricopre ad interim l’incarico di Responsabile dell’Area Amministrazione e Supporto alla Regolazione.</w:t>
      </w:r>
    </w:p>
    <w:p w:rsidR="000E189E" w:rsidRDefault="000E189E" w:rsidP="000E189E">
      <w:pPr>
        <w:autoSpaceDE w:val="0"/>
        <w:autoSpaceDN w:val="0"/>
        <w:adjustRightInd w:val="0"/>
        <w:rPr>
          <w:rFonts w:ascii="Garamond" w:hAnsi="Garamond"/>
        </w:rPr>
      </w:pPr>
    </w:p>
    <w:tbl>
      <w:tblPr>
        <w:tblStyle w:val="Grigliatabella"/>
        <w:tblW w:w="8926" w:type="dxa"/>
        <w:tblLook w:val="04A0" w:firstRow="1" w:lastRow="0" w:firstColumn="1" w:lastColumn="0" w:noHBand="0" w:noVBand="1"/>
      </w:tblPr>
      <w:tblGrid>
        <w:gridCol w:w="441"/>
        <w:gridCol w:w="2673"/>
        <w:gridCol w:w="3402"/>
        <w:gridCol w:w="2410"/>
      </w:tblGrid>
      <w:tr w:rsidR="000E189E" w:rsidTr="00C43D05">
        <w:tc>
          <w:tcPr>
            <w:tcW w:w="441" w:type="dxa"/>
          </w:tcPr>
          <w:p w:rsidR="000E189E" w:rsidRPr="00307D4B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0"/>
                <w:szCs w:val="20"/>
              </w:rPr>
            </w:pPr>
            <w:r w:rsidRPr="00307D4B">
              <w:rPr>
                <w:rFonts w:ascii="Garamond" w:hAnsi="Garamond" w:cs="TimesNewRomanPS-BoldMT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2673" w:type="dxa"/>
          </w:tcPr>
          <w:p w:rsidR="000E189E" w:rsidRPr="00307D4B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0"/>
                <w:szCs w:val="20"/>
              </w:rPr>
            </w:pPr>
            <w:r w:rsidRPr="00307D4B">
              <w:rPr>
                <w:rFonts w:ascii="Garamond" w:hAnsi="Garamond" w:cs="TimesNewRomanPS-BoldMT"/>
                <w:b/>
                <w:bCs/>
                <w:sz w:val="20"/>
                <w:szCs w:val="20"/>
              </w:rPr>
              <w:t>QUALIFICA</w:t>
            </w:r>
          </w:p>
        </w:tc>
        <w:tc>
          <w:tcPr>
            <w:tcW w:w="3402" w:type="dxa"/>
          </w:tcPr>
          <w:p w:rsidR="000E189E" w:rsidRPr="00307D4B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0"/>
                <w:szCs w:val="20"/>
              </w:rPr>
            </w:pPr>
            <w:r w:rsidRPr="00307D4B">
              <w:rPr>
                <w:rFonts w:ascii="Garamond" w:hAnsi="Garamond" w:cs="TimesNewRomanPS-BoldMT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2410" w:type="dxa"/>
          </w:tcPr>
          <w:p w:rsidR="000E189E" w:rsidRPr="00307D4B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  <w:sz w:val="20"/>
                <w:szCs w:val="20"/>
              </w:rPr>
            </w:pPr>
            <w:r w:rsidRPr="00307D4B">
              <w:rPr>
                <w:rFonts w:ascii="Garamond" w:hAnsi="Garamond" w:cs="TimesNewRomanPS-BoldMT"/>
                <w:b/>
                <w:bCs/>
                <w:sz w:val="20"/>
                <w:szCs w:val="20"/>
              </w:rPr>
              <w:t>PERSONALE IN SERVIZIO</w:t>
            </w:r>
          </w:p>
        </w:tc>
      </w:tr>
      <w:tr w:rsidR="000E189E" w:rsidTr="00C43D05">
        <w:tc>
          <w:tcPr>
            <w:tcW w:w="441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1</w:t>
            </w:r>
          </w:p>
        </w:tc>
        <w:tc>
          <w:tcPr>
            <w:tcW w:w="2673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Direttore Generale</w:t>
            </w:r>
          </w:p>
        </w:tc>
        <w:tc>
          <w:tcPr>
            <w:tcW w:w="3402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Cs/>
              </w:rPr>
            </w:pPr>
            <w:r>
              <w:rPr>
                <w:rFonts w:ascii="Garamond" w:hAnsi="Garamond" w:cs="TimesNewRomanPS-BoldMT"/>
                <w:bCs/>
              </w:rPr>
              <w:t xml:space="preserve">  </w:t>
            </w:r>
            <w:r w:rsidRPr="00781046">
              <w:rPr>
                <w:rFonts w:ascii="Garamond" w:hAnsi="Garamond" w:cs="TimesNewRomanPS-BoldMT"/>
                <w:bCs/>
              </w:rPr>
              <w:t>Direzione</w:t>
            </w:r>
          </w:p>
        </w:tc>
        <w:tc>
          <w:tcPr>
            <w:tcW w:w="2410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1</w:t>
            </w:r>
          </w:p>
        </w:tc>
      </w:tr>
      <w:tr w:rsidR="000E189E" w:rsidTr="00C43D05">
        <w:tc>
          <w:tcPr>
            <w:tcW w:w="441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2</w:t>
            </w:r>
          </w:p>
        </w:tc>
        <w:tc>
          <w:tcPr>
            <w:tcW w:w="2673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Categoria D</w:t>
            </w:r>
          </w:p>
        </w:tc>
        <w:tc>
          <w:tcPr>
            <w:tcW w:w="3402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Cs/>
              </w:rPr>
            </w:pPr>
            <w:r>
              <w:rPr>
                <w:rFonts w:ascii="Garamond" w:hAnsi="Garamond" w:cs="TimesNewRomanPS-BoldMT"/>
                <w:bCs/>
              </w:rPr>
              <w:t xml:space="preserve">  </w:t>
            </w:r>
            <w:r w:rsidRPr="00781046">
              <w:rPr>
                <w:rFonts w:ascii="Garamond" w:hAnsi="Garamond" w:cs="TimesNewRomanPS-BoldMT"/>
                <w:bCs/>
              </w:rPr>
              <w:t>Contabile – T.D.- P.T.  ore/sett.</w:t>
            </w:r>
          </w:p>
        </w:tc>
        <w:tc>
          <w:tcPr>
            <w:tcW w:w="2410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1</w:t>
            </w:r>
          </w:p>
        </w:tc>
      </w:tr>
      <w:tr w:rsidR="000E189E" w:rsidTr="00C43D05">
        <w:tc>
          <w:tcPr>
            <w:tcW w:w="441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3</w:t>
            </w:r>
          </w:p>
        </w:tc>
        <w:tc>
          <w:tcPr>
            <w:tcW w:w="2673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Categoria D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5"/>
            </w:tblGrid>
            <w:tr w:rsidR="000E189E" w:rsidRPr="00307D4B" w:rsidTr="00C43D05">
              <w:trPr>
                <w:trHeight w:val="96"/>
              </w:trPr>
              <w:tc>
                <w:tcPr>
                  <w:tcW w:w="0" w:type="auto"/>
                </w:tcPr>
                <w:p w:rsidR="000E189E" w:rsidRPr="00307D4B" w:rsidRDefault="000E189E" w:rsidP="00C43D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color w:val="000000"/>
                      <w:sz w:val="21"/>
                      <w:szCs w:val="21"/>
                    </w:rPr>
                  </w:pPr>
                  <w:r w:rsidRPr="00307D4B">
                    <w:rPr>
                      <w:rFonts w:ascii="Garamond" w:hAnsi="Garamond" w:cs="Garamond"/>
                      <w:color w:val="000000"/>
                      <w:sz w:val="21"/>
                      <w:szCs w:val="21"/>
                    </w:rPr>
                    <w:t>Tecnica T.D.- P.T. 12 ore/sett.</w:t>
                  </w:r>
                </w:p>
              </w:tc>
            </w:tr>
          </w:tbl>
          <w:p w:rsidR="000E189E" w:rsidRPr="00781046" w:rsidRDefault="000E189E" w:rsidP="00C43D0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Cs/>
              </w:rPr>
            </w:pPr>
          </w:p>
        </w:tc>
        <w:tc>
          <w:tcPr>
            <w:tcW w:w="2410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1</w:t>
            </w:r>
          </w:p>
        </w:tc>
      </w:tr>
      <w:tr w:rsidR="000E189E" w:rsidTr="00C43D05">
        <w:tc>
          <w:tcPr>
            <w:tcW w:w="441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4</w:t>
            </w:r>
          </w:p>
        </w:tc>
        <w:tc>
          <w:tcPr>
            <w:tcW w:w="2673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Categoria C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9"/>
            </w:tblGrid>
            <w:tr w:rsidR="000E189E" w:rsidRPr="00307D4B" w:rsidTr="00C43D05">
              <w:trPr>
                <w:trHeight w:val="96"/>
              </w:trPr>
              <w:tc>
                <w:tcPr>
                  <w:tcW w:w="0" w:type="auto"/>
                </w:tcPr>
                <w:p w:rsidR="000E189E" w:rsidRPr="00307D4B" w:rsidRDefault="000E189E" w:rsidP="00C43D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color w:val="000000"/>
                      <w:sz w:val="21"/>
                      <w:szCs w:val="21"/>
                    </w:rPr>
                  </w:pPr>
                  <w:r w:rsidRPr="00307D4B">
                    <w:rPr>
                      <w:rFonts w:ascii="Garamond" w:hAnsi="Garamond" w:cs="Garamond"/>
                      <w:color w:val="000000"/>
                      <w:sz w:val="21"/>
                      <w:szCs w:val="21"/>
                    </w:rPr>
                    <w:t>Amm.va T.D.- P.T. 12 ore/sett.</w:t>
                  </w:r>
                </w:p>
              </w:tc>
            </w:tr>
          </w:tbl>
          <w:p w:rsidR="000E189E" w:rsidRPr="00781046" w:rsidRDefault="000E189E" w:rsidP="00C43D0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Cs/>
              </w:rPr>
            </w:pPr>
          </w:p>
        </w:tc>
        <w:tc>
          <w:tcPr>
            <w:tcW w:w="2410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1</w:t>
            </w:r>
          </w:p>
        </w:tc>
      </w:tr>
      <w:tr w:rsidR="000E189E" w:rsidTr="00C43D05">
        <w:tc>
          <w:tcPr>
            <w:tcW w:w="441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5</w:t>
            </w:r>
          </w:p>
        </w:tc>
        <w:tc>
          <w:tcPr>
            <w:tcW w:w="2673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Categoria C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5"/>
            </w:tblGrid>
            <w:tr w:rsidR="000E189E" w:rsidRPr="00307D4B" w:rsidTr="00C43D05">
              <w:trPr>
                <w:trHeight w:val="96"/>
              </w:trPr>
              <w:tc>
                <w:tcPr>
                  <w:tcW w:w="0" w:type="auto"/>
                </w:tcPr>
                <w:p w:rsidR="000E189E" w:rsidRPr="00307D4B" w:rsidRDefault="000E189E" w:rsidP="00C43D0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Garamond"/>
                      <w:color w:val="000000"/>
                      <w:sz w:val="21"/>
                      <w:szCs w:val="21"/>
                    </w:rPr>
                  </w:pPr>
                  <w:r w:rsidRPr="00307D4B">
                    <w:rPr>
                      <w:rFonts w:ascii="Garamond" w:hAnsi="Garamond" w:cs="Garamond"/>
                      <w:color w:val="000000"/>
                      <w:sz w:val="21"/>
                      <w:szCs w:val="21"/>
                    </w:rPr>
                    <w:t xml:space="preserve">Tecnico </w:t>
                  </w:r>
                  <w:proofErr w:type="spellStart"/>
                  <w:r w:rsidRPr="00307D4B">
                    <w:rPr>
                      <w:rFonts w:ascii="Garamond" w:hAnsi="Garamond" w:cs="Garamond"/>
                      <w:color w:val="000000"/>
                      <w:sz w:val="21"/>
                      <w:szCs w:val="21"/>
                    </w:rPr>
                    <w:t>Inf</w:t>
                  </w:r>
                  <w:proofErr w:type="spellEnd"/>
                  <w:r w:rsidRPr="00307D4B">
                    <w:rPr>
                      <w:rFonts w:ascii="Garamond" w:hAnsi="Garamond" w:cs="Garamond"/>
                      <w:color w:val="000000"/>
                      <w:sz w:val="21"/>
                      <w:szCs w:val="21"/>
                    </w:rPr>
                    <w:t>. T.D.- P.T. 12 ore/sett.</w:t>
                  </w:r>
                </w:p>
              </w:tc>
            </w:tr>
          </w:tbl>
          <w:p w:rsidR="000E189E" w:rsidRPr="00781046" w:rsidRDefault="000E189E" w:rsidP="00C43D05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NewRomanPS-BoldMT"/>
                <w:bCs/>
              </w:rPr>
            </w:pPr>
          </w:p>
        </w:tc>
        <w:tc>
          <w:tcPr>
            <w:tcW w:w="2410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  <w:r w:rsidRPr="00781046">
              <w:rPr>
                <w:rFonts w:ascii="Garamond" w:hAnsi="Garamond" w:cs="TimesNewRomanPS-BoldMT"/>
                <w:bCs/>
              </w:rPr>
              <w:t>1</w:t>
            </w:r>
          </w:p>
        </w:tc>
      </w:tr>
      <w:tr w:rsidR="000E189E" w:rsidTr="00C43D05">
        <w:tc>
          <w:tcPr>
            <w:tcW w:w="441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Cs/>
              </w:rPr>
            </w:pPr>
          </w:p>
        </w:tc>
        <w:tc>
          <w:tcPr>
            <w:tcW w:w="2673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</w:rPr>
            </w:pPr>
            <w:r w:rsidRPr="00781046">
              <w:rPr>
                <w:rFonts w:ascii="Garamond" w:hAnsi="Garamond" w:cs="TimesNewRomanPS-BoldMT"/>
                <w:b/>
                <w:bCs/>
              </w:rPr>
              <w:t>TOTALI</w:t>
            </w:r>
          </w:p>
        </w:tc>
        <w:tc>
          <w:tcPr>
            <w:tcW w:w="3402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</w:rPr>
            </w:pPr>
          </w:p>
        </w:tc>
        <w:tc>
          <w:tcPr>
            <w:tcW w:w="2410" w:type="dxa"/>
          </w:tcPr>
          <w:p w:rsidR="000E189E" w:rsidRPr="00781046" w:rsidRDefault="000E189E" w:rsidP="00C43D05">
            <w:pPr>
              <w:autoSpaceDE w:val="0"/>
              <w:autoSpaceDN w:val="0"/>
              <w:adjustRightInd w:val="0"/>
              <w:rPr>
                <w:rFonts w:ascii="Garamond" w:hAnsi="Garamond" w:cs="TimesNewRomanPS-BoldMT"/>
                <w:b/>
                <w:bCs/>
              </w:rPr>
            </w:pPr>
            <w:r w:rsidRPr="00781046">
              <w:rPr>
                <w:rFonts w:ascii="Garamond" w:hAnsi="Garamond" w:cs="TimesNewRomanPS-BoldMT"/>
                <w:b/>
                <w:bCs/>
              </w:rPr>
              <w:t>5</w:t>
            </w:r>
          </w:p>
        </w:tc>
      </w:tr>
    </w:tbl>
    <w:p w:rsidR="000E189E" w:rsidRDefault="000E189E" w:rsidP="000E189E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0E189E" w:rsidRPr="00781046" w:rsidRDefault="000E189E" w:rsidP="000E189E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r w:rsidRPr="00781046">
        <w:rPr>
          <w:rFonts w:ascii="Garamond" w:hAnsi="Garamond" w:cs="TimesNewRomanPS-BoldMT"/>
          <w:bCs/>
        </w:rPr>
        <w:t>Nell’anno 2023 sono previste le assunzioni di n. 4 unità a tempo pieno ed indeterminato all’esito delle procedure di concorso approvate nell’anno 2022:</w:t>
      </w:r>
    </w:p>
    <w:p w:rsidR="000E189E" w:rsidRPr="00781046" w:rsidRDefault="000E189E" w:rsidP="000E189E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r w:rsidRPr="00781046">
        <w:rPr>
          <w:rFonts w:ascii="Garamond" w:hAnsi="Garamond" w:cs="TimesNewRomanPS-BoldMT"/>
          <w:bCs/>
        </w:rPr>
        <w:t xml:space="preserve">n. 2 – Funzionari tecnici ex </w:t>
      </w:r>
      <w:proofErr w:type="spellStart"/>
      <w:r w:rsidRPr="00781046">
        <w:rPr>
          <w:rFonts w:ascii="Garamond" w:hAnsi="Garamond" w:cs="TimesNewRomanPS-BoldMT"/>
          <w:bCs/>
        </w:rPr>
        <w:t>Cat</w:t>
      </w:r>
      <w:proofErr w:type="spellEnd"/>
      <w:r w:rsidRPr="00781046">
        <w:rPr>
          <w:rFonts w:ascii="Garamond" w:hAnsi="Garamond" w:cs="TimesNewRomanPS-BoldMT"/>
          <w:bCs/>
        </w:rPr>
        <w:t>. D;</w:t>
      </w:r>
    </w:p>
    <w:p w:rsidR="000E189E" w:rsidRPr="00781046" w:rsidRDefault="000E189E" w:rsidP="000E189E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r w:rsidRPr="00781046">
        <w:rPr>
          <w:rFonts w:ascii="Garamond" w:hAnsi="Garamond" w:cs="TimesNewRomanPS-BoldMT"/>
          <w:bCs/>
        </w:rPr>
        <w:t xml:space="preserve">n. 1 – Funzionario amministrativo contabile ex </w:t>
      </w:r>
      <w:proofErr w:type="spellStart"/>
      <w:r w:rsidRPr="00781046">
        <w:rPr>
          <w:rFonts w:ascii="Garamond" w:hAnsi="Garamond" w:cs="TimesNewRomanPS-BoldMT"/>
          <w:bCs/>
        </w:rPr>
        <w:t>Cat</w:t>
      </w:r>
      <w:proofErr w:type="spellEnd"/>
      <w:r w:rsidRPr="00781046">
        <w:rPr>
          <w:rFonts w:ascii="Garamond" w:hAnsi="Garamond" w:cs="TimesNewRomanPS-BoldMT"/>
          <w:bCs/>
        </w:rPr>
        <w:t>. D;</w:t>
      </w:r>
    </w:p>
    <w:p w:rsidR="000E189E" w:rsidRPr="00781046" w:rsidRDefault="000E189E" w:rsidP="000E189E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r w:rsidRPr="00781046">
        <w:rPr>
          <w:rFonts w:ascii="Garamond" w:hAnsi="Garamond" w:cs="TimesNewRomanPS-BoldMT"/>
          <w:bCs/>
        </w:rPr>
        <w:t xml:space="preserve">n. 1 – Istruttore tecnico ex </w:t>
      </w:r>
      <w:proofErr w:type="spellStart"/>
      <w:r w:rsidRPr="00781046">
        <w:rPr>
          <w:rFonts w:ascii="Garamond" w:hAnsi="Garamond" w:cs="TimesNewRomanPS-BoldMT"/>
          <w:bCs/>
        </w:rPr>
        <w:t>Cat</w:t>
      </w:r>
      <w:proofErr w:type="spellEnd"/>
      <w:r w:rsidRPr="00781046">
        <w:rPr>
          <w:rFonts w:ascii="Garamond" w:hAnsi="Garamond" w:cs="TimesNewRomanPS-BoldMT"/>
          <w:bCs/>
        </w:rPr>
        <w:t>. C.</w:t>
      </w:r>
    </w:p>
    <w:p w:rsidR="000E189E" w:rsidRPr="00781046" w:rsidRDefault="000E189E" w:rsidP="000E189E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r w:rsidRPr="00781046">
        <w:rPr>
          <w:rFonts w:ascii="Garamond" w:hAnsi="Garamond" w:cs="TimesNewRomanPS-BoldMT"/>
          <w:bCs/>
        </w:rPr>
        <w:t>Sono previste, altresì, n. 2 assunzioni con l’istituto dello scavalco di eccedenza 12/ore settimanali:</w:t>
      </w:r>
    </w:p>
    <w:p w:rsidR="000E189E" w:rsidRPr="00781046" w:rsidRDefault="000E189E" w:rsidP="000E189E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r w:rsidRPr="00781046">
        <w:rPr>
          <w:rFonts w:ascii="Garamond" w:hAnsi="Garamond" w:cs="TimesNewRomanPS-BoldMT"/>
          <w:bCs/>
        </w:rPr>
        <w:t xml:space="preserve">n. 1 Funzionario amministrativo – contabile ex </w:t>
      </w:r>
      <w:proofErr w:type="spellStart"/>
      <w:r w:rsidRPr="00781046">
        <w:rPr>
          <w:rFonts w:ascii="Garamond" w:hAnsi="Garamond" w:cs="TimesNewRomanPS-BoldMT"/>
          <w:bCs/>
        </w:rPr>
        <w:t>Cat</w:t>
      </w:r>
      <w:proofErr w:type="spellEnd"/>
      <w:r w:rsidRPr="00781046">
        <w:rPr>
          <w:rFonts w:ascii="Garamond" w:hAnsi="Garamond" w:cs="TimesNewRomanPS-BoldMT"/>
          <w:bCs/>
        </w:rPr>
        <w:t>. D;</w:t>
      </w:r>
    </w:p>
    <w:p w:rsidR="00013EDF" w:rsidRDefault="000E189E" w:rsidP="0016333A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r w:rsidRPr="00781046">
        <w:rPr>
          <w:rFonts w:ascii="Garamond" w:hAnsi="Garamond" w:cs="TimesNewRomanPS-BoldMT"/>
          <w:bCs/>
        </w:rPr>
        <w:t xml:space="preserve">n. 1 Istruttore amministrativo – contabile ex </w:t>
      </w:r>
      <w:proofErr w:type="spellStart"/>
      <w:r w:rsidRPr="00781046">
        <w:rPr>
          <w:rFonts w:ascii="Garamond" w:hAnsi="Garamond" w:cs="TimesNewRomanPS-BoldMT"/>
          <w:bCs/>
        </w:rPr>
        <w:t>Cat</w:t>
      </w:r>
      <w:proofErr w:type="spellEnd"/>
      <w:r w:rsidRPr="00781046">
        <w:rPr>
          <w:rFonts w:ascii="Garamond" w:hAnsi="Garamond" w:cs="TimesNewRomanPS-BoldMT"/>
          <w:bCs/>
        </w:rPr>
        <w:t xml:space="preserve">. C </w:t>
      </w:r>
    </w:p>
    <w:p w:rsidR="000E189E" w:rsidRPr="000E189E" w:rsidRDefault="000E189E" w:rsidP="0016333A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  <w:bookmarkStart w:id="0" w:name="_GoBack"/>
      <w:bookmarkEnd w:id="0"/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Sottosezione di programmazione</w:t>
      </w:r>
    </w:p>
    <w:p w:rsidR="0016333A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Organizzazione del lavoro agile</w:t>
      </w:r>
    </w:p>
    <w:p w:rsidR="00013EDF" w:rsidRPr="006D36B9" w:rsidRDefault="00013EDF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16333A" w:rsidRDefault="00013EDF" w:rsidP="00013EDF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Nelle </w:t>
      </w:r>
      <w:r w:rsidR="0016333A" w:rsidRPr="006D36B9">
        <w:rPr>
          <w:rFonts w:ascii="Garamond" w:hAnsi="Garamond" w:cs="TimesNewRomanPSMT"/>
        </w:rPr>
        <w:t>more della regolamentazione del lavoro agile, ad opera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dei contratti collettivi nazionali di lavoro relativi al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triennio 20</w:t>
      </w:r>
      <w:r w:rsidR="00781046">
        <w:rPr>
          <w:rFonts w:ascii="Garamond" w:hAnsi="Garamond" w:cs="TimesNewRomanPSMT"/>
        </w:rPr>
        <w:t>23</w:t>
      </w:r>
      <w:r w:rsidR="0016333A" w:rsidRPr="006D36B9">
        <w:rPr>
          <w:rFonts w:ascii="Garamond" w:hAnsi="Garamond" w:cs="TimesNewRomanPSMT"/>
        </w:rPr>
        <w:t>-202</w:t>
      </w:r>
      <w:r w:rsidR="00781046">
        <w:rPr>
          <w:rFonts w:ascii="Garamond" w:hAnsi="Garamond" w:cs="TimesNewRomanPSMT"/>
        </w:rPr>
        <w:t>5</w:t>
      </w:r>
      <w:r w:rsidR="0016333A" w:rsidRPr="006D36B9">
        <w:rPr>
          <w:rFonts w:ascii="Garamond" w:hAnsi="Garamond" w:cs="TimesNewRomanPSMT"/>
        </w:rPr>
        <w:t xml:space="preserve"> che disciplineranno a regime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l’istituto per gli aspetti non riservati alla fonte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unilaterale, così come indicato nelle premesse delle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“Linee guida in materia di lavoro agile nelle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amministrazioni pubbliche”, adottate dal Dipartimento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della Funzione Pubblica il 30 novembre 2021 e per le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quali è stata raggiunta l’intesa in Conferenza Unificata,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ai sensi dell'articolo 9, comma 2, del decreto legislativo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28 agosto 1997, n. 281, in data 16 dicembre 2021,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 xml:space="preserve">l’istituto del lavoro agile presso </w:t>
      </w:r>
      <w:r>
        <w:rPr>
          <w:rFonts w:ascii="Garamond" w:hAnsi="Garamond" w:cs="TimesNewRomanPSMT"/>
        </w:rPr>
        <w:t>l’Ente d’Ambito Caserta</w:t>
      </w:r>
      <w:r w:rsidR="0016333A" w:rsidRPr="006D36B9">
        <w:rPr>
          <w:rFonts w:ascii="Garamond" w:hAnsi="Garamond" w:cs="TimesNewRomanPSMT"/>
        </w:rPr>
        <w:t xml:space="preserve"> rimane regolato dalle disposizioni di cui</w:t>
      </w:r>
      <w:r>
        <w:rPr>
          <w:rFonts w:ascii="Garamond" w:hAnsi="Garamond" w:cs="TimesNewRomanPSMT"/>
        </w:rPr>
        <w:t xml:space="preserve"> </w:t>
      </w:r>
      <w:r w:rsidR="0016333A" w:rsidRPr="006D36B9">
        <w:rPr>
          <w:rFonts w:ascii="Garamond" w:hAnsi="Garamond" w:cs="TimesNewRomanPSMT"/>
        </w:rPr>
        <w:t>alla vigente legislazione</w:t>
      </w:r>
    </w:p>
    <w:p w:rsidR="00013EDF" w:rsidRPr="006D36B9" w:rsidRDefault="00013EDF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Sottosezione di programmazione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Piano Triennale dei Fabbisogni di</w:t>
      </w:r>
    </w:p>
    <w:p w:rsidR="0016333A" w:rsidRPr="006D36B9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Personale</w:t>
      </w:r>
    </w:p>
    <w:p w:rsidR="0016333A" w:rsidRPr="00884DA9" w:rsidRDefault="0016333A" w:rsidP="00013EDF">
      <w:pPr>
        <w:autoSpaceDE w:val="0"/>
        <w:autoSpaceDN w:val="0"/>
        <w:adjustRightInd w:val="0"/>
        <w:jc w:val="both"/>
        <w:rPr>
          <w:rFonts w:ascii="Garamond" w:hAnsi="Garamond" w:cs="TimesNewRomanPSMT"/>
          <w:i/>
        </w:rPr>
      </w:pPr>
      <w:r w:rsidRPr="006D36B9">
        <w:rPr>
          <w:rFonts w:ascii="Garamond" w:hAnsi="Garamond" w:cs="TimesNewRomanPSMT"/>
        </w:rPr>
        <w:t>Piano triennale del</w:t>
      </w:r>
      <w:r w:rsidR="00013EDF">
        <w:rPr>
          <w:rFonts w:ascii="Garamond" w:hAnsi="Garamond" w:cs="TimesNewRomanPSMT"/>
        </w:rPr>
        <w:t xml:space="preserve"> </w:t>
      </w:r>
      <w:r w:rsidRPr="006D36B9">
        <w:rPr>
          <w:rFonts w:ascii="Garamond" w:hAnsi="Garamond" w:cs="TimesNewRomanPSMT"/>
        </w:rPr>
        <w:t>fabbisogno del personale 202</w:t>
      </w:r>
      <w:r w:rsidR="00BE3CA1">
        <w:rPr>
          <w:rFonts w:ascii="Garamond" w:hAnsi="Garamond" w:cs="TimesNewRomanPSMT"/>
        </w:rPr>
        <w:t>3</w:t>
      </w:r>
      <w:r w:rsidRPr="006D36B9">
        <w:rPr>
          <w:rFonts w:ascii="Garamond" w:hAnsi="Garamond" w:cs="TimesNewRomanPSMT"/>
        </w:rPr>
        <w:t>-202</w:t>
      </w:r>
      <w:r w:rsidR="00BE3CA1">
        <w:rPr>
          <w:rFonts w:ascii="Garamond" w:hAnsi="Garamond" w:cs="TimesNewRomanPSMT"/>
        </w:rPr>
        <w:t>5</w:t>
      </w:r>
      <w:r w:rsidRPr="006D36B9">
        <w:rPr>
          <w:rFonts w:ascii="Garamond" w:hAnsi="Garamond" w:cs="TimesNewRomanPSMT"/>
        </w:rPr>
        <w:t>, di cui alla</w:t>
      </w:r>
      <w:r w:rsidR="00013EDF">
        <w:rPr>
          <w:rFonts w:ascii="Garamond" w:hAnsi="Garamond" w:cs="TimesNewRomanPSMT"/>
        </w:rPr>
        <w:t xml:space="preserve"> </w:t>
      </w:r>
      <w:r w:rsidRPr="00884DA9">
        <w:rPr>
          <w:rFonts w:ascii="Garamond" w:hAnsi="Garamond" w:cs="TimesNewRomanPSMT"/>
          <w:i/>
        </w:rPr>
        <w:t xml:space="preserve">deliberazione di </w:t>
      </w:r>
      <w:r w:rsidR="00013EDF" w:rsidRPr="00884DA9">
        <w:rPr>
          <w:rFonts w:ascii="Garamond" w:hAnsi="Garamond" w:cs="TimesNewRomanPSMT"/>
          <w:i/>
        </w:rPr>
        <w:t xml:space="preserve">Consiglio d’Ambito </w:t>
      </w:r>
      <w:r w:rsidR="00473977" w:rsidRPr="00884DA9">
        <w:rPr>
          <w:rFonts w:ascii="Garamond" w:hAnsi="Garamond" w:cs="TimesNewRomanPSMT"/>
          <w:i/>
        </w:rPr>
        <w:t xml:space="preserve">n. </w:t>
      </w:r>
      <w:r w:rsidR="00BE3CA1" w:rsidRPr="00884DA9">
        <w:rPr>
          <w:rFonts w:ascii="Garamond" w:hAnsi="Garamond" w:cs="TimesNewRomanPSMT"/>
          <w:i/>
        </w:rPr>
        <w:t>5</w:t>
      </w:r>
      <w:r w:rsidR="00473977" w:rsidRPr="00884DA9">
        <w:rPr>
          <w:rFonts w:ascii="Garamond" w:hAnsi="Garamond" w:cs="TimesNewRomanPSMT"/>
          <w:i/>
        </w:rPr>
        <w:t xml:space="preserve"> del </w:t>
      </w:r>
      <w:r w:rsidR="00BE3CA1" w:rsidRPr="00884DA9">
        <w:rPr>
          <w:rFonts w:ascii="Garamond" w:hAnsi="Garamond" w:cs="TimesNewRomanPSMT"/>
          <w:i/>
        </w:rPr>
        <w:t>26.04.2023</w:t>
      </w:r>
      <w:r w:rsidR="00473977" w:rsidRPr="00884DA9">
        <w:rPr>
          <w:rFonts w:ascii="Garamond" w:hAnsi="Garamond" w:cs="TimesNewRomanPSMT"/>
          <w:i/>
        </w:rPr>
        <w:t>.</w:t>
      </w:r>
    </w:p>
    <w:p w:rsidR="00781046" w:rsidRDefault="00781046" w:rsidP="00013EDF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781046" w:rsidRPr="00781046" w:rsidRDefault="00781046" w:rsidP="0016333A">
      <w:pPr>
        <w:autoSpaceDE w:val="0"/>
        <w:autoSpaceDN w:val="0"/>
        <w:adjustRightInd w:val="0"/>
        <w:rPr>
          <w:rFonts w:ascii="Garamond" w:hAnsi="Garamond" w:cs="TimesNewRomanPS-BoldMT"/>
          <w:bCs/>
        </w:rPr>
      </w:pPr>
    </w:p>
    <w:p w:rsidR="0016333A" w:rsidRDefault="0016333A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  <w:r w:rsidRPr="006D36B9">
        <w:rPr>
          <w:rFonts w:ascii="Garamond" w:hAnsi="Garamond" w:cs="TimesNewRomanPS-BoldMT"/>
          <w:b/>
          <w:bCs/>
        </w:rPr>
        <w:t>SEZIONE 4. MONITORAGGIO</w:t>
      </w:r>
    </w:p>
    <w:p w:rsidR="00013EDF" w:rsidRPr="006D36B9" w:rsidRDefault="00013EDF" w:rsidP="0016333A">
      <w:pPr>
        <w:autoSpaceDE w:val="0"/>
        <w:autoSpaceDN w:val="0"/>
        <w:adjustRightInd w:val="0"/>
        <w:rPr>
          <w:rFonts w:ascii="Garamond" w:hAnsi="Garamond" w:cs="TimesNewRomanPS-BoldMT"/>
          <w:b/>
          <w:bCs/>
        </w:rPr>
      </w:pPr>
    </w:p>
    <w:p w:rsidR="00FD2638" w:rsidRDefault="00FD2638" w:rsidP="00FD2638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  <w:r w:rsidRPr="00FD2638">
        <w:rPr>
          <w:rFonts w:ascii="Garamond" w:hAnsi="Garamond" w:cs="TimesNewRomanPSMT"/>
        </w:rPr>
        <w:t>COMPILAZIONE NON OBBLIGATORIA</w:t>
      </w:r>
      <w:r>
        <w:rPr>
          <w:rFonts w:ascii="Garamond" w:hAnsi="Garamond" w:cs="TimesNewRomanPSMT"/>
        </w:rPr>
        <w:t xml:space="preserve"> </w:t>
      </w:r>
      <w:r w:rsidRPr="00FD2638">
        <w:rPr>
          <w:rFonts w:ascii="Garamond" w:hAnsi="Garamond" w:cs="TimesNewRomanPSMT"/>
        </w:rPr>
        <w:t>per le PA con non più di 50 dipendenti</w:t>
      </w:r>
      <w:r>
        <w:rPr>
          <w:rFonts w:ascii="Garamond" w:hAnsi="Garamond" w:cs="TimesNewRomanPSMT"/>
        </w:rPr>
        <w:t>.</w:t>
      </w:r>
    </w:p>
    <w:p w:rsidR="0016333A" w:rsidRDefault="0016333A" w:rsidP="001E51EE">
      <w:pPr>
        <w:autoSpaceDE w:val="0"/>
        <w:autoSpaceDN w:val="0"/>
        <w:adjustRightInd w:val="0"/>
        <w:jc w:val="both"/>
        <w:rPr>
          <w:rFonts w:ascii="Garamond" w:hAnsi="Garamond" w:cs="TimesNewRomanPSMT"/>
        </w:rPr>
      </w:pPr>
    </w:p>
    <w:p w:rsidR="00013EDF" w:rsidRPr="006D36B9" w:rsidRDefault="00610D45" w:rsidP="0016333A">
      <w:pPr>
        <w:autoSpaceDE w:val="0"/>
        <w:autoSpaceDN w:val="0"/>
        <w:adjustRightInd w:val="0"/>
        <w:rPr>
          <w:rFonts w:ascii="Garamond" w:hAnsi="Garamond" w:cs="TimesNewRomanPSMT"/>
        </w:rPr>
      </w:pPr>
      <w:r>
        <w:rPr>
          <w:rFonts w:ascii="Garamond" w:hAnsi="Garamond" w:cs="TimesNewRomanPSMT"/>
        </w:rPr>
        <w:t xml:space="preserve">L’ANCI nella nota esplicativa alla circolare della Funzione Pubblica n. 2/2022, ha precisato e chiarito che gli Enti con meno di 50 dipendenti non sono tenuti ad effettuare il monitoraggio sul </w:t>
      </w:r>
      <w:r w:rsidR="00ED1D18" w:rsidRPr="00ED1D18">
        <w:rPr>
          <w:rFonts w:ascii="Garamond" w:hAnsi="Garamond" w:cs="TimesNewRomanPSMT"/>
          <w:i/>
        </w:rPr>
        <w:t>“</w:t>
      </w:r>
      <w:r w:rsidRPr="00ED1D18">
        <w:rPr>
          <w:rFonts w:ascii="Garamond" w:hAnsi="Garamond" w:cs="TimesNewRomanPSMT"/>
          <w:i/>
        </w:rPr>
        <w:t>Portale PIAO</w:t>
      </w:r>
      <w:r w:rsidR="00ED1D18" w:rsidRPr="00ED1D18">
        <w:rPr>
          <w:rFonts w:ascii="Garamond" w:hAnsi="Garamond" w:cs="TimesNewRomanPSMT"/>
          <w:i/>
        </w:rPr>
        <w:t>”.</w:t>
      </w:r>
      <w:r>
        <w:rPr>
          <w:rFonts w:ascii="Garamond" w:hAnsi="Garamond" w:cs="TimesNewRomanPSMT"/>
        </w:rPr>
        <w:t xml:space="preserve"> </w:t>
      </w:r>
    </w:p>
    <w:sectPr w:rsidR="00013EDF" w:rsidRPr="006D36B9" w:rsidSect="000A1F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40" w:right="1280" w:bottom="280" w:left="1280" w:header="360" w:footer="36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6AF" w:rsidRDefault="00F476AF" w:rsidP="006927D6">
      <w:r>
        <w:separator/>
      </w:r>
    </w:p>
  </w:endnote>
  <w:endnote w:type="continuationSeparator" w:id="0">
    <w:p w:rsidR="00F476AF" w:rsidRDefault="00F476AF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CE41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E41DC" w:rsidRDefault="00CE41DC" w:rsidP="00E33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E189E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:rsidR="00CE41DC" w:rsidRDefault="00CE41DC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6AF" w:rsidRDefault="00F476AF" w:rsidP="006927D6">
      <w:r>
        <w:separator/>
      </w:r>
    </w:p>
  </w:footnote>
  <w:footnote w:type="continuationSeparator" w:id="0">
    <w:p w:rsidR="00F476AF" w:rsidRDefault="00F476AF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E6"/>
    <w:multiLevelType w:val="hybridMultilevel"/>
    <w:tmpl w:val="7B26BC44"/>
    <w:lvl w:ilvl="0" w:tplc="0410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897438C"/>
    <w:multiLevelType w:val="hybridMultilevel"/>
    <w:tmpl w:val="B42A528E"/>
    <w:lvl w:ilvl="0" w:tplc="BA10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B44"/>
    <w:multiLevelType w:val="multilevel"/>
    <w:tmpl w:val="C8F2A01A"/>
    <w:lvl w:ilvl="0">
      <w:numFmt w:val="bullet"/>
      <w:lvlText w:val=""/>
      <w:lvlJc w:val="left"/>
      <w:pPr>
        <w:ind w:left="563" w:hanging="284"/>
      </w:p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3" w15:restartNumberingAfterBreak="0">
    <w:nsid w:val="0DA361C3"/>
    <w:multiLevelType w:val="multilevel"/>
    <w:tmpl w:val="9EFA7BBE"/>
    <w:lvl w:ilvl="0">
      <w:start w:val="18"/>
      <w:numFmt w:val="decimal"/>
      <w:lvlText w:val="%1"/>
      <w:lvlJc w:val="left"/>
      <w:pPr>
        <w:ind w:left="136" w:hanging="490"/>
      </w:pPr>
    </w:lvl>
    <w:lvl w:ilvl="1">
      <w:start w:val="3"/>
      <w:numFmt w:val="decimal"/>
      <w:lvlText w:val="%1.%2"/>
      <w:lvlJc w:val="left"/>
      <w:pPr>
        <w:ind w:left="136" w:hanging="490"/>
      </w:pPr>
      <w:rPr>
        <w:rFonts w:ascii="Times New Roman" w:eastAsia="Times New Roman" w:hAnsi="Times New Roman" w:cs="Times New Roman"/>
        <w:i/>
        <w:sz w:val="22"/>
        <w:szCs w:val="22"/>
      </w:rPr>
    </w:lvl>
    <w:lvl w:ilvl="2">
      <w:numFmt w:val="bullet"/>
      <w:lvlText w:val="●"/>
      <w:lvlJc w:val="left"/>
      <w:pPr>
        <w:ind w:left="563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511" w:hanging="284"/>
      </w:pPr>
    </w:lvl>
    <w:lvl w:ilvl="4">
      <w:numFmt w:val="bullet"/>
      <w:lvlText w:val="•"/>
      <w:lvlJc w:val="left"/>
      <w:pPr>
        <w:ind w:left="3486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437" w:hanging="283"/>
      </w:pPr>
    </w:lvl>
    <w:lvl w:ilvl="7">
      <w:numFmt w:val="bullet"/>
      <w:lvlText w:val="•"/>
      <w:lvlJc w:val="left"/>
      <w:pPr>
        <w:ind w:left="6413" w:hanging="284"/>
      </w:pPr>
    </w:lvl>
    <w:lvl w:ilvl="8">
      <w:numFmt w:val="bullet"/>
      <w:lvlText w:val="•"/>
      <w:lvlJc w:val="left"/>
      <w:pPr>
        <w:ind w:left="7388" w:hanging="284"/>
      </w:pPr>
    </w:lvl>
  </w:abstractNum>
  <w:abstractNum w:abstractNumId="4" w15:restartNumberingAfterBreak="0">
    <w:nsid w:val="186B07EE"/>
    <w:multiLevelType w:val="hybridMultilevel"/>
    <w:tmpl w:val="92625152"/>
    <w:lvl w:ilvl="0" w:tplc="0608D8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F95"/>
    <w:multiLevelType w:val="hybridMultilevel"/>
    <w:tmpl w:val="ED8E2852"/>
    <w:lvl w:ilvl="0" w:tplc="2D0A58D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NewRomanPS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90947"/>
    <w:multiLevelType w:val="hybridMultilevel"/>
    <w:tmpl w:val="CA0CE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74EB3"/>
    <w:multiLevelType w:val="hybridMultilevel"/>
    <w:tmpl w:val="C04CBA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F2FF5"/>
    <w:multiLevelType w:val="hybridMultilevel"/>
    <w:tmpl w:val="567A0804"/>
    <w:lvl w:ilvl="0" w:tplc="3DBCD13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NewRomanPSMT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72B63"/>
    <w:multiLevelType w:val="multilevel"/>
    <w:tmpl w:val="40102B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1321D"/>
    <w:multiLevelType w:val="hybridMultilevel"/>
    <w:tmpl w:val="9538F3B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320D"/>
    <w:multiLevelType w:val="multilevel"/>
    <w:tmpl w:val="982071F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675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  <w:i/>
      </w:rPr>
    </w:lvl>
  </w:abstractNum>
  <w:abstractNum w:abstractNumId="12" w15:restartNumberingAfterBreak="0">
    <w:nsid w:val="47AE1C6D"/>
    <w:multiLevelType w:val="hybridMultilevel"/>
    <w:tmpl w:val="72FC9558"/>
    <w:lvl w:ilvl="0" w:tplc="9DFA155A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FA81B04"/>
    <w:multiLevelType w:val="multilevel"/>
    <w:tmpl w:val="336CFDBE"/>
    <w:lvl w:ilvl="0">
      <w:start w:val="1"/>
      <w:numFmt w:val="lowerLetter"/>
      <w:lvlText w:val="%1)"/>
      <w:lvlJc w:val="left"/>
      <w:pPr>
        <w:ind w:left="563" w:hanging="28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4" w15:restartNumberingAfterBreak="0">
    <w:nsid w:val="5AF70D8B"/>
    <w:multiLevelType w:val="hybridMultilevel"/>
    <w:tmpl w:val="30022042"/>
    <w:lvl w:ilvl="0" w:tplc="A358F3D0">
      <w:start w:val="1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55BE0"/>
    <w:multiLevelType w:val="multilevel"/>
    <w:tmpl w:val="B35A0EC2"/>
    <w:lvl w:ilvl="0">
      <w:start w:val="1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6" w15:restartNumberingAfterBreak="0">
    <w:nsid w:val="65E843C6"/>
    <w:multiLevelType w:val="multilevel"/>
    <w:tmpl w:val="A18AC686"/>
    <w:lvl w:ilvl="0">
      <w:start w:val="1"/>
      <w:numFmt w:val="decimal"/>
      <w:lvlText w:val="%1"/>
      <w:lvlJc w:val="left"/>
      <w:pPr>
        <w:ind w:left="568" w:hanging="432"/>
      </w:pPr>
      <w:rPr>
        <w:b/>
      </w:rPr>
    </w:lvl>
    <w:lvl w:ilvl="1">
      <w:start w:val="1"/>
      <w:numFmt w:val="decimal"/>
      <w:lvlText w:val="%1.%2"/>
      <w:lvlJc w:val="left"/>
      <w:pPr>
        <w:ind w:left="1278" w:hanging="57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860" w:hanging="576"/>
      </w:pPr>
    </w:lvl>
    <w:lvl w:ilvl="3">
      <w:numFmt w:val="bullet"/>
      <w:lvlText w:val="•"/>
      <w:lvlJc w:val="left"/>
      <w:pPr>
        <w:ind w:left="2795" w:hanging="576"/>
      </w:pPr>
    </w:lvl>
    <w:lvl w:ilvl="4">
      <w:numFmt w:val="bullet"/>
      <w:lvlText w:val="•"/>
      <w:lvlJc w:val="left"/>
      <w:pPr>
        <w:ind w:left="3730" w:hanging="576"/>
      </w:pPr>
    </w:lvl>
    <w:lvl w:ilvl="5">
      <w:numFmt w:val="bullet"/>
      <w:lvlText w:val="•"/>
      <w:lvlJc w:val="left"/>
      <w:pPr>
        <w:ind w:left="4665" w:hanging="576"/>
      </w:pPr>
    </w:lvl>
    <w:lvl w:ilvl="6">
      <w:numFmt w:val="bullet"/>
      <w:lvlText w:val="•"/>
      <w:lvlJc w:val="left"/>
      <w:pPr>
        <w:ind w:left="5600" w:hanging="576"/>
      </w:pPr>
    </w:lvl>
    <w:lvl w:ilvl="7">
      <w:numFmt w:val="bullet"/>
      <w:lvlText w:val="•"/>
      <w:lvlJc w:val="left"/>
      <w:pPr>
        <w:ind w:left="6535" w:hanging="576"/>
      </w:pPr>
    </w:lvl>
    <w:lvl w:ilvl="8">
      <w:numFmt w:val="bullet"/>
      <w:lvlText w:val="•"/>
      <w:lvlJc w:val="left"/>
      <w:pPr>
        <w:ind w:left="7470" w:hanging="576"/>
      </w:pPr>
    </w:lvl>
  </w:abstractNum>
  <w:abstractNum w:abstractNumId="17" w15:restartNumberingAfterBreak="0">
    <w:nsid w:val="73CC2A23"/>
    <w:multiLevelType w:val="multilevel"/>
    <w:tmpl w:val="45C026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</w:abstractNum>
  <w:abstractNum w:abstractNumId="18" w15:restartNumberingAfterBreak="0">
    <w:nsid w:val="7EEE4C72"/>
    <w:multiLevelType w:val="hybridMultilevel"/>
    <w:tmpl w:val="FB64F5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5"/>
  </w:num>
  <w:num w:numId="5">
    <w:abstractNumId w:val="13"/>
  </w:num>
  <w:num w:numId="6">
    <w:abstractNumId w:val="2"/>
  </w:num>
  <w:num w:numId="7">
    <w:abstractNumId w:val="11"/>
  </w:num>
  <w:num w:numId="8">
    <w:abstractNumId w:val="17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1150A"/>
    <w:rsid w:val="00013EDF"/>
    <w:rsid w:val="00016F23"/>
    <w:rsid w:val="00034CD0"/>
    <w:rsid w:val="000455F5"/>
    <w:rsid w:val="00046DE4"/>
    <w:rsid w:val="00057E0D"/>
    <w:rsid w:val="000655FA"/>
    <w:rsid w:val="00070094"/>
    <w:rsid w:val="00071E10"/>
    <w:rsid w:val="00085F5B"/>
    <w:rsid w:val="00090149"/>
    <w:rsid w:val="00093AC1"/>
    <w:rsid w:val="000A0B5F"/>
    <w:rsid w:val="000A1FCF"/>
    <w:rsid w:val="000A315B"/>
    <w:rsid w:val="000C4A69"/>
    <w:rsid w:val="000E0599"/>
    <w:rsid w:val="000E189E"/>
    <w:rsid w:val="000E5C5B"/>
    <w:rsid w:val="000F1E88"/>
    <w:rsid w:val="000F3AD4"/>
    <w:rsid w:val="00104633"/>
    <w:rsid w:val="001247D4"/>
    <w:rsid w:val="00124C3E"/>
    <w:rsid w:val="00135348"/>
    <w:rsid w:val="001515E6"/>
    <w:rsid w:val="00157E17"/>
    <w:rsid w:val="00162E5F"/>
    <w:rsid w:val="0016333A"/>
    <w:rsid w:val="00163A4A"/>
    <w:rsid w:val="001660B4"/>
    <w:rsid w:val="00170FDA"/>
    <w:rsid w:val="00172CEE"/>
    <w:rsid w:val="001776F5"/>
    <w:rsid w:val="00180B8D"/>
    <w:rsid w:val="001849F2"/>
    <w:rsid w:val="001B3318"/>
    <w:rsid w:val="001C0AF9"/>
    <w:rsid w:val="001C67E4"/>
    <w:rsid w:val="001C7A72"/>
    <w:rsid w:val="001D609A"/>
    <w:rsid w:val="001D6A88"/>
    <w:rsid w:val="001E3F68"/>
    <w:rsid w:val="001E51EE"/>
    <w:rsid w:val="001E66A7"/>
    <w:rsid w:val="001F0C9D"/>
    <w:rsid w:val="001F5358"/>
    <w:rsid w:val="001F7F02"/>
    <w:rsid w:val="00204FC7"/>
    <w:rsid w:val="00214A08"/>
    <w:rsid w:val="00215700"/>
    <w:rsid w:val="0022378F"/>
    <w:rsid w:val="00227863"/>
    <w:rsid w:val="00243584"/>
    <w:rsid w:val="00243ECB"/>
    <w:rsid w:val="00283B35"/>
    <w:rsid w:val="002B11EF"/>
    <w:rsid w:val="002D5173"/>
    <w:rsid w:val="002D77B9"/>
    <w:rsid w:val="002E1A33"/>
    <w:rsid w:val="002E5C32"/>
    <w:rsid w:val="002F1CE6"/>
    <w:rsid w:val="002F648E"/>
    <w:rsid w:val="003029FE"/>
    <w:rsid w:val="00307D4B"/>
    <w:rsid w:val="00316170"/>
    <w:rsid w:val="0032675D"/>
    <w:rsid w:val="0034775C"/>
    <w:rsid w:val="00351BF8"/>
    <w:rsid w:val="00365580"/>
    <w:rsid w:val="00367D97"/>
    <w:rsid w:val="00371413"/>
    <w:rsid w:val="00373B63"/>
    <w:rsid w:val="003763CA"/>
    <w:rsid w:val="00383416"/>
    <w:rsid w:val="003836DB"/>
    <w:rsid w:val="003846E4"/>
    <w:rsid w:val="00391FEF"/>
    <w:rsid w:val="003B176A"/>
    <w:rsid w:val="003C2521"/>
    <w:rsid w:val="003D5F2D"/>
    <w:rsid w:val="003D7CE2"/>
    <w:rsid w:val="003E16CB"/>
    <w:rsid w:val="003E33B8"/>
    <w:rsid w:val="003E39FC"/>
    <w:rsid w:val="003E6F2A"/>
    <w:rsid w:val="003E7C18"/>
    <w:rsid w:val="003E7DA8"/>
    <w:rsid w:val="003F4072"/>
    <w:rsid w:val="003F6F58"/>
    <w:rsid w:val="004020E6"/>
    <w:rsid w:val="00402B12"/>
    <w:rsid w:val="00402DB9"/>
    <w:rsid w:val="00413806"/>
    <w:rsid w:val="00413FAD"/>
    <w:rsid w:val="004164BB"/>
    <w:rsid w:val="00416D01"/>
    <w:rsid w:val="00422098"/>
    <w:rsid w:val="004366C0"/>
    <w:rsid w:val="00437F7C"/>
    <w:rsid w:val="004421F5"/>
    <w:rsid w:val="0044298D"/>
    <w:rsid w:val="00442B42"/>
    <w:rsid w:val="00442EAD"/>
    <w:rsid w:val="00456F6C"/>
    <w:rsid w:val="004578EB"/>
    <w:rsid w:val="00461995"/>
    <w:rsid w:val="00462192"/>
    <w:rsid w:val="00463F75"/>
    <w:rsid w:val="00464D0E"/>
    <w:rsid w:val="00473977"/>
    <w:rsid w:val="00476A7D"/>
    <w:rsid w:val="00477AD1"/>
    <w:rsid w:val="00482ECF"/>
    <w:rsid w:val="004877BF"/>
    <w:rsid w:val="00487A45"/>
    <w:rsid w:val="00487D82"/>
    <w:rsid w:val="004965F5"/>
    <w:rsid w:val="004A0656"/>
    <w:rsid w:val="004A410A"/>
    <w:rsid w:val="004B569D"/>
    <w:rsid w:val="004C2758"/>
    <w:rsid w:val="004E2CC5"/>
    <w:rsid w:val="004E4DDD"/>
    <w:rsid w:val="004F1F45"/>
    <w:rsid w:val="004F2460"/>
    <w:rsid w:val="004F2E19"/>
    <w:rsid w:val="0050506D"/>
    <w:rsid w:val="00512F6E"/>
    <w:rsid w:val="00513193"/>
    <w:rsid w:val="00515494"/>
    <w:rsid w:val="0051772C"/>
    <w:rsid w:val="005246D5"/>
    <w:rsid w:val="00526F4B"/>
    <w:rsid w:val="0053039A"/>
    <w:rsid w:val="00533BCD"/>
    <w:rsid w:val="00546D07"/>
    <w:rsid w:val="005504E7"/>
    <w:rsid w:val="0055373E"/>
    <w:rsid w:val="00554592"/>
    <w:rsid w:val="005671E1"/>
    <w:rsid w:val="005726C3"/>
    <w:rsid w:val="00573385"/>
    <w:rsid w:val="00574C0F"/>
    <w:rsid w:val="00577E4A"/>
    <w:rsid w:val="005816C5"/>
    <w:rsid w:val="00586FA1"/>
    <w:rsid w:val="0059309F"/>
    <w:rsid w:val="005A27E3"/>
    <w:rsid w:val="005B5879"/>
    <w:rsid w:val="005C2EE9"/>
    <w:rsid w:val="005D1196"/>
    <w:rsid w:val="005D2930"/>
    <w:rsid w:val="005D5A47"/>
    <w:rsid w:val="005E036D"/>
    <w:rsid w:val="005E2DE8"/>
    <w:rsid w:val="005F13A0"/>
    <w:rsid w:val="005F6C65"/>
    <w:rsid w:val="00610D45"/>
    <w:rsid w:val="00612B52"/>
    <w:rsid w:val="00612ED0"/>
    <w:rsid w:val="006210A9"/>
    <w:rsid w:val="00630A31"/>
    <w:rsid w:val="0063247D"/>
    <w:rsid w:val="00652FE3"/>
    <w:rsid w:val="00665A9C"/>
    <w:rsid w:val="00670171"/>
    <w:rsid w:val="006724D0"/>
    <w:rsid w:val="0067433A"/>
    <w:rsid w:val="006927D6"/>
    <w:rsid w:val="006964A4"/>
    <w:rsid w:val="006A3FCC"/>
    <w:rsid w:val="006C071C"/>
    <w:rsid w:val="006C1D18"/>
    <w:rsid w:val="006D0198"/>
    <w:rsid w:val="006D09C2"/>
    <w:rsid w:val="006D0B99"/>
    <w:rsid w:val="006D36B9"/>
    <w:rsid w:val="006E5120"/>
    <w:rsid w:val="006F5676"/>
    <w:rsid w:val="006F582B"/>
    <w:rsid w:val="00706358"/>
    <w:rsid w:val="00711642"/>
    <w:rsid w:val="0071232D"/>
    <w:rsid w:val="007174FA"/>
    <w:rsid w:val="007201CF"/>
    <w:rsid w:val="00730170"/>
    <w:rsid w:val="007553F1"/>
    <w:rsid w:val="00777A93"/>
    <w:rsid w:val="00781046"/>
    <w:rsid w:val="00781D8B"/>
    <w:rsid w:val="00782509"/>
    <w:rsid w:val="00786788"/>
    <w:rsid w:val="007A3DA0"/>
    <w:rsid w:val="007B70E9"/>
    <w:rsid w:val="007C09EA"/>
    <w:rsid w:val="007C23B4"/>
    <w:rsid w:val="007C2C10"/>
    <w:rsid w:val="007C5942"/>
    <w:rsid w:val="007D2463"/>
    <w:rsid w:val="007E59BD"/>
    <w:rsid w:val="007E68CE"/>
    <w:rsid w:val="007E7F53"/>
    <w:rsid w:val="007F2A2B"/>
    <w:rsid w:val="007F6832"/>
    <w:rsid w:val="00800E1E"/>
    <w:rsid w:val="00804CEA"/>
    <w:rsid w:val="00805A81"/>
    <w:rsid w:val="00811479"/>
    <w:rsid w:val="00811802"/>
    <w:rsid w:val="0081192B"/>
    <w:rsid w:val="00822BB6"/>
    <w:rsid w:val="00826176"/>
    <w:rsid w:val="00826E8D"/>
    <w:rsid w:val="00844E14"/>
    <w:rsid w:val="00846FD5"/>
    <w:rsid w:val="00862A5F"/>
    <w:rsid w:val="00865785"/>
    <w:rsid w:val="00881047"/>
    <w:rsid w:val="00882B1D"/>
    <w:rsid w:val="00884DA9"/>
    <w:rsid w:val="00885C3E"/>
    <w:rsid w:val="00897D20"/>
    <w:rsid w:val="008A1854"/>
    <w:rsid w:val="008A79D5"/>
    <w:rsid w:val="008B2021"/>
    <w:rsid w:val="008B2C04"/>
    <w:rsid w:val="008B5E5A"/>
    <w:rsid w:val="008B62CD"/>
    <w:rsid w:val="008C00B5"/>
    <w:rsid w:val="008C493F"/>
    <w:rsid w:val="008D3D6C"/>
    <w:rsid w:val="008D6BBB"/>
    <w:rsid w:val="008E7907"/>
    <w:rsid w:val="009001DF"/>
    <w:rsid w:val="009179D2"/>
    <w:rsid w:val="0092181D"/>
    <w:rsid w:val="0093565F"/>
    <w:rsid w:val="00935866"/>
    <w:rsid w:val="009366BA"/>
    <w:rsid w:val="00943994"/>
    <w:rsid w:val="00954F18"/>
    <w:rsid w:val="00955FCE"/>
    <w:rsid w:val="009754BA"/>
    <w:rsid w:val="0098026D"/>
    <w:rsid w:val="00981A08"/>
    <w:rsid w:val="009910F1"/>
    <w:rsid w:val="009A0B86"/>
    <w:rsid w:val="009A2323"/>
    <w:rsid w:val="009A2BBB"/>
    <w:rsid w:val="009B4147"/>
    <w:rsid w:val="009B44CB"/>
    <w:rsid w:val="009B51FB"/>
    <w:rsid w:val="009B6CC3"/>
    <w:rsid w:val="009C0821"/>
    <w:rsid w:val="009D0735"/>
    <w:rsid w:val="009D2E1F"/>
    <w:rsid w:val="009F63A3"/>
    <w:rsid w:val="009F7721"/>
    <w:rsid w:val="00A015C8"/>
    <w:rsid w:val="00A02590"/>
    <w:rsid w:val="00A15708"/>
    <w:rsid w:val="00A17031"/>
    <w:rsid w:val="00A24D42"/>
    <w:rsid w:val="00A263F3"/>
    <w:rsid w:val="00A34D97"/>
    <w:rsid w:val="00A37111"/>
    <w:rsid w:val="00A42926"/>
    <w:rsid w:val="00A509E6"/>
    <w:rsid w:val="00A54015"/>
    <w:rsid w:val="00A62886"/>
    <w:rsid w:val="00A6767F"/>
    <w:rsid w:val="00A7007D"/>
    <w:rsid w:val="00A70C5E"/>
    <w:rsid w:val="00A74135"/>
    <w:rsid w:val="00A742B8"/>
    <w:rsid w:val="00A839FC"/>
    <w:rsid w:val="00A86684"/>
    <w:rsid w:val="00A87233"/>
    <w:rsid w:val="00A927E4"/>
    <w:rsid w:val="00A968CA"/>
    <w:rsid w:val="00AA3443"/>
    <w:rsid w:val="00AB311D"/>
    <w:rsid w:val="00AC7E27"/>
    <w:rsid w:val="00AD17D0"/>
    <w:rsid w:val="00AD3C1E"/>
    <w:rsid w:val="00AD4C39"/>
    <w:rsid w:val="00AD69B7"/>
    <w:rsid w:val="00AE304A"/>
    <w:rsid w:val="00AE55DB"/>
    <w:rsid w:val="00AF217F"/>
    <w:rsid w:val="00AF7B7D"/>
    <w:rsid w:val="00B102D3"/>
    <w:rsid w:val="00B11FD1"/>
    <w:rsid w:val="00B14319"/>
    <w:rsid w:val="00B16082"/>
    <w:rsid w:val="00B17D05"/>
    <w:rsid w:val="00B21E04"/>
    <w:rsid w:val="00B26AF6"/>
    <w:rsid w:val="00B305FE"/>
    <w:rsid w:val="00B31B82"/>
    <w:rsid w:val="00B415FB"/>
    <w:rsid w:val="00B54030"/>
    <w:rsid w:val="00B55A55"/>
    <w:rsid w:val="00B7095D"/>
    <w:rsid w:val="00B748E8"/>
    <w:rsid w:val="00B7669C"/>
    <w:rsid w:val="00B81DB3"/>
    <w:rsid w:val="00B81E17"/>
    <w:rsid w:val="00B82018"/>
    <w:rsid w:val="00B86894"/>
    <w:rsid w:val="00B92ADE"/>
    <w:rsid w:val="00BA3C11"/>
    <w:rsid w:val="00BA3E64"/>
    <w:rsid w:val="00BA5B7C"/>
    <w:rsid w:val="00BA663C"/>
    <w:rsid w:val="00BD4D16"/>
    <w:rsid w:val="00BE33C3"/>
    <w:rsid w:val="00BE3CA1"/>
    <w:rsid w:val="00BF1FC6"/>
    <w:rsid w:val="00BF508A"/>
    <w:rsid w:val="00C0459B"/>
    <w:rsid w:val="00C068C8"/>
    <w:rsid w:val="00C12732"/>
    <w:rsid w:val="00C15CF7"/>
    <w:rsid w:val="00C22D3A"/>
    <w:rsid w:val="00C25767"/>
    <w:rsid w:val="00C312F4"/>
    <w:rsid w:val="00C430CA"/>
    <w:rsid w:val="00C62EFB"/>
    <w:rsid w:val="00C73859"/>
    <w:rsid w:val="00C76575"/>
    <w:rsid w:val="00CA0707"/>
    <w:rsid w:val="00CA3F9A"/>
    <w:rsid w:val="00CA7F08"/>
    <w:rsid w:val="00CB0245"/>
    <w:rsid w:val="00CB3A5F"/>
    <w:rsid w:val="00CB3A9D"/>
    <w:rsid w:val="00CB7D48"/>
    <w:rsid w:val="00CC061B"/>
    <w:rsid w:val="00CC3399"/>
    <w:rsid w:val="00CD2F79"/>
    <w:rsid w:val="00CD4EE4"/>
    <w:rsid w:val="00CE3D9B"/>
    <w:rsid w:val="00CE41DC"/>
    <w:rsid w:val="00CE465D"/>
    <w:rsid w:val="00D00682"/>
    <w:rsid w:val="00D00D11"/>
    <w:rsid w:val="00D05A16"/>
    <w:rsid w:val="00D12D8A"/>
    <w:rsid w:val="00D15C6A"/>
    <w:rsid w:val="00D222AF"/>
    <w:rsid w:val="00D22674"/>
    <w:rsid w:val="00D2416C"/>
    <w:rsid w:val="00D61EF7"/>
    <w:rsid w:val="00D7371A"/>
    <w:rsid w:val="00D73C56"/>
    <w:rsid w:val="00D84E81"/>
    <w:rsid w:val="00D91189"/>
    <w:rsid w:val="00DA4636"/>
    <w:rsid w:val="00DA7752"/>
    <w:rsid w:val="00DB28F6"/>
    <w:rsid w:val="00DB2AA4"/>
    <w:rsid w:val="00DB4970"/>
    <w:rsid w:val="00DB5CF3"/>
    <w:rsid w:val="00DD4494"/>
    <w:rsid w:val="00DE2349"/>
    <w:rsid w:val="00DE61BC"/>
    <w:rsid w:val="00DE6ACC"/>
    <w:rsid w:val="00DE703A"/>
    <w:rsid w:val="00DE7D4B"/>
    <w:rsid w:val="00DF53ED"/>
    <w:rsid w:val="00DF5BDD"/>
    <w:rsid w:val="00E017C1"/>
    <w:rsid w:val="00E01D8D"/>
    <w:rsid w:val="00E03096"/>
    <w:rsid w:val="00E24896"/>
    <w:rsid w:val="00E317EA"/>
    <w:rsid w:val="00E31B53"/>
    <w:rsid w:val="00E33418"/>
    <w:rsid w:val="00E33D8C"/>
    <w:rsid w:val="00E34206"/>
    <w:rsid w:val="00E36B3E"/>
    <w:rsid w:val="00E3713F"/>
    <w:rsid w:val="00E416F4"/>
    <w:rsid w:val="00E62FC5"/>
    <w:rsid w:val="00E66862"/>
    <w:rsid w:val="00E72587"/>
    <w:rsid w:val="00E76BCA"/>
    <w:rsid w:val="00E77C66"/>
    <w:rsid w:val="00E81240"/>
    <w:rsid w:val="00E83200"/>
    <w:rsid w:val="00E90CEA"/>
    <w:rsid w:val="00E96F5A"/>
    <w:rsid w:val="00E97070"/>
    <w:rsid w:val="00EA4C30"/>
    <w:rsid w:val="00EA540D"/>
    <w:rsid w:val="00EB2376"/>
    <w:rsid w:val="00ED1D18"/>
    <w:rsid w:val="00ED34F3"/>
    <w:rsid w:val="00ED37C9"/>
    <w:rsid w:val="00ED3F25"/>
    <w:rsid w:val="00EE633A"/>
    <w:rsid w:val="00EF05A3"/>
    <w:rsid w:val="00F10ABE"/>
    <w:rsid w:val="00F17362"/>
    <w:rsid w:val="00F20681"/>
    <w:rsid w:val="00F2488B"/>
    <w:rsid w:val="00F26F89"/>
    <w:rsid w:val="00F43C54"/>
    <w:rsid w:val="00F4723F"/>
    <w:rsid w:val="00F476AF"/>
    <w:rsid w:val="00F54919"/>
    <w:rsid w:val="00F6025B"/>
    <w:rsid w:val="00F603E1"/>
    <w:rsid w:val="00F77397"/>
    <w:rsid w:val="00F80EB9"/>
    <w:rsid w:val="00F8406B"/>
    <w:rsid w:val="00F92C3D"/>
    <w:rsid w:val="00F93138"/>
    <w:rsid w:val="00F93C43"/>
    <w:rsid w:val="00FC4854"/>
    <w:rsid w:val="00FC6E24"/>
    <w:rsid w:val="00FD0193"/>
    <w:rsid w:val="00FD2638"/>
    <w:rsid w:val="00FD687A"/>
    <w:rsid w:val="00FE001D"/>
    <w:rsid w:val="00FE0706"/>
    <w:rsid w:val="00FF212F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B21"/>
  <w15:chartTrackingRefBased/>
  <w15:docId w15:val="{EB893396-7FDF-3C4C-9A7E-3B36DF9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B28F6"/>
    <w:pPr>
      <w:widowControl w:val="0"/>
      <w:autoSpaceDE w:val="0"/>
      <w:autoSpaceDN w:val="0"/>
      <w:spacing w:before="1"/>
      <w:ind w:right="190"/>
      <w:jc w:val="right"/>
      <w:outlineLvl w:val="0"/>
    </w:pPr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D5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D5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rsid w:val="005D5A47"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lang w:eastAsia="it-IT" w:bidi="it-IT"/>
    </w:rPr>
  </w:style>
  <w:style w:type="paragraph" w:styleId="Titolo5">
    <w:name w:val="heading 5"/>
    <w:basedOn w:val="Normale"/>
    <w:next w:val="Normale"/>
    <w:link w:val="Titolo5Carattere"/>
    <w:rsid w:val="005D5A47"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paragraph" w:styleId="Titolo6">
    <w:name w:val="heading 6"/>
    <w:basedOn w:val="Normale"/>
    <w:next w:val="Normale"/>
    <w:link w:val="Titolo6Carattere"/>
    <w:rsid w:val="005D5A47"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27D6"/>
  </w:style>
  <w:style w:type="paragraph" w:styleId="Pidipagina">
    <w:name w:val="footer"/>
    <w:basedOn w:val="Normale"/>
    <w:link w:val="Pidipagina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iPriority w:val="99"/>
    <w:semiHidden/>
    <w:unhideWhenUsed/>
    <w:rsid w:val="00E33D8C"/>
  </w:style>
  <w:style w:type="character" w:customStyle="1" w:styleId="Titolo1Carattere">
    <w:name w:val="Titolo 1 Carattere"/>
    <w:basedOn w:val="Carpredefinitoparagrafo"/>
    <w:link w:val="Titolo1"/>
    <w:uiPriority w:val="1"/>
    <w:rsid w:val="00DB28F6"/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B28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8F6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900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5D5A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D5A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rsid w:val="005D5A47"/>
    <w:rPr>
      <w:rFonts w:ascii="Times New Roman" w:eastAsia="Times New Roman" w:hAnsi="Times New Roman" w:cs="Times New Roman"/>
      <w:b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D5A47"/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rsid w:val="005D5A47"/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table" w:customStyle="1" w:styleId="TableNormal">
    <w:name w:val="Table Normal"/>
    <w:uiPriority w:val="2"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5D5A47"/>
    <w:pPr>
      <w:keepNext/>
      <w:keepLines/>
      <w:widowControl w:val="0"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character" w:customStyle="1" w:styleId="TitoloCarattere">
    <w:name w:val="Titolo Carattere"/>
    <w:basedOn w:val="Carpredefinitoparagrafo"/>
    <w:link w:val="Titolo"/>
    <w:rsid w:val="005D5A47"/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Sottotitolo">
    <w:name w:val="Subtitle"/>
    <w:basedOn w:val="Normale"/>
    <w:next w:val="Normale"/>
    <w:link w:val="SottotitoloCarattere"/>
    <w:rsid w:val="005D5A47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character" w:customStyle="1" w:styleId="SottotitoloCarattere">
    <w:name w:val="Sottotitolo Carattere"/>
    <w:basedOn w:val="Carpredefinitoparagrafo"/>
    <w:link w:val="Sottotitolo"/>
    <w:rsid w:val="005D5A47"/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paragraph" w:customStyle="1" w:styleId="Default">
    <w:name w:val="Default"/>
    <w:rsid w:val="00AF217F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paragraph" w:customStyle="1" w:styleId="NormaleDelibera">
    <w:name w:val="NormaleDelibera"/>
    <w:basedOn w:val="Normale"/>
    <w:rsid w:val="00F1736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160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1608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25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A5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rtaeda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acaserta@pec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1E65CD-3ADB-42F3-BEBD-FF276A50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yw575</dc:creator>
  <cp:keywords/>
  <dc:description/>
  <cp:lastModifiedBy>Utente</cp:lastModifiedBy>
  <cp:revision>6</cp:revision>
  <cp:lastPrinted>2021-07-13T11:59:00Z</cp:lastPrinted>
  <dcterms:created xsi:type="dcterms:W3CDTF">2023-07-26T08:18:00Z</dcterms:created>
  <dcterms:modified xsi:type="dcterms:W3CDTF">2023-07-26T11:18:00Z</dcterms:modified>
</cp:coreProperties>
</file>